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480"/>
      </w:pPr>
    </w:p>
    <w:p>
      <w:pPr>
        <w:spacing w:line="480"/>
      </w:pPr>
    </w:p>
    <w:p>
      <w:pPr>
        <w:spacing w:line="480"/>
      </w:pPr>
    </w:p>
    <w:p>
      <w:pPr>
        <w:spacing w:line="480"/>
        <w:jc w:val="center"/>
      </w:pPr>
      <w:r>
        <w:rPr>
          <w:b/>
          <w:bCs/>
        </w:rPr>
        <w:t xml:space="preserve">Evaluating the Retrieval Models of a Bilingual Search System for Nepal</w:t>
      </w:r>
    </w:p>
    <w:p>
      <w:pPr>
        <w:spacing w:line="480"/>
      </w:pPr>
    </w:p>
    <w:p>
      <w:pPr>
        <w:spacing w:line="480"/>
        <w:jc w:val="center"/>
      </w:pPr>
      <w:r>
        <w:t xml:space="preserve">Prijesh</w:t>
      </w:r>
    </w:p>
    <w:p>
      <w:pPr>
        <w:spacing w:line="480"/>
        <w:jc w:val="center"/>
      </w:pPr>
      <w:r>
        <w:t xml:space="preserve">[Department name], [University name]</w:t>
      </w:r>
    </w:p>
    <w:p>
      <w:pPr>
        <w:spacing w:line="480"/>
        <w:jc w:val="center"/>
      </w:pPr>
      <w:r>
        <w:t xml:space="preserve">[Course number]: [Course name], Week 7 Assignment</w:t>
      </w:r>
    </w:p>
    <w:p>
      <w:pPr>
        <w:spacing w:line="480"/>
        <w:jc w:val="center"/>
      </w:pPr>
      <w:r>
        <w:t xml:space="preserve">[Instructor name]</w:t>
      </w:r>
    </w:p>
    <w:p>
      <w:pPr>
        <w:spacing w:line="480"/>
        <w:jc w:val="center"/>
      </w:pPr>
      <w:r>
        <w:t xml:space="preserve">October 12, 2026</w:t>
      </w:r>
    </w:p>
    <w:p>
      <w:r>
        <w:br w:type="page"/>
      </w:r>
    </w:p>
    <w:p>
      <w:pPr>
        <w:pStyle w:val="Heading1"/>
      </w:pPr>
      <w:r>
        <w:t xml:space="preserve">Evaluating the Retrieval Models of a Bilingual Search System for Nepal</w:t>
      </w:r>
    </w:p>
    <w:p>
      <w:pPr>
        <w:spacing w:after="0" w:before="0" w:line="480"/>
        <w:ind w:firstLine="720"/>
      </w:pPr>
      <w:r>
        <w:t xml:space="preserve">In the Week 6 assignment I built PGS Mini Search, a small bilingual (English and Nepali) information retrieval system based on our team project, the PGS Search Engine (tekraj, 2026). It searches 9,842 documents about Nepal’s provinces, districts, local governments and websites, and it offers four retrieval models: a Boolean model, a TF-IDF vector space model, BM25F and a hybrid that fuses BM25F and TF-IDF with Reciprocal Rank Fusion (Cormack et al., 2009).</w:t>
      </w:r>
    </w:p>
    <w:p>
      <w:pPr>
        <w:spacing w:after="0" w:before="0" w:line="480"/>
        <w:ind w:firstLine="720"/>
      </w:pPr>
      <w:r>
        <w:t xml:space="preserve">This report evaluates those models in depth. Week 6 reported five measures; this week the evaluation was extended to eleven measures, graded relevance judgments, precision-recall curves, statistical significance tests, tuning of the BM25 parameters on held-out queries, a per-query failure analysis and an efficiency analysis. The aim was to find out not only which model is best, but how sure we can be about it and where each model fails.</w:t>
      </w:r>
    </w:p>
    <w:p>
      <w:pPr>
        <w:spacing w:after="0" w:before="0" w:line="480"/>
        <w:ind w:firstLine="720"/>
      </w:pPr>
      <w:r>
        <w:t xml:space="preserve">The main findings are that query expansion (English–Nepali translation and spelling correction) gives the largest and a statistically significant improvement, that tuning BM25’s parameters raises MAP on unseen queries from 0.794 to 0.854, and that the remaining errors come mainly from very short misspelt names and from over-expansion of the word “news”.</w:t>
      </w:r>
    </w:p>
    <w:p>
      <w:pPr>
        <w:pStyle w:val="Heading1"/>
      </w:pPr>
      <w:r>
        <w:t xml:space="preserve">Method</w:t>
      </w:r>
    </w:p>
    <w:p>
      <w:pPr>
        <w:pStyle w:val="Heading2"/>
      </w:pPr>
      <w:r>
        <w:t xml:space="preserve">Systems Evaluated</w:t>
      </w:r>
    </w:p>
    <w:p>
      <w:pPr>
        <w:spacing w:after="0" w:before="0" w:line="480"/>
        <w:ind w:firstLine="720"/>
      </w:pPr>
      <w:r>
        <w:t xml:space="preserve">Eight runs were compared (Table 1). Six are the Week 6 runs; one is an ablation without word segmentation of web addresses; and one is BM25F with parameters tuned in this assignment.</w:t>
      </w:r>
    </w:p>
    <w:p>
      <w:pPr>
        <w:keepNext/>
        <w:spacing w:before="240" w:line="480"/>
      </w:pPr>
      <w:r>
        <w:rPr>
          <w:b/>
          <w:bCs/>
        </w:rPr>
        <w:t xml:space="preserve">Table 1</w:t>
      </w:r>
    </w:p>
    <w:p>
      <w:pPr>
        <w:keepNext/>
        <w:spacing w:line="480"/>
      </w:pPr>
      <w:r>
        <w:rPr>
          <w:i/>
          <w:iCs/>
        </w:rPr>
        <w:t xml:space="preserve">Runs Compared</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3209"/>
        <w:gridCol w:w="5817"/>
      </w:tblGrid>
      <w:tr>
        <w:trPr>
          <w:tblHeader/>
        </w:trPr>
        <w:tc>
          <w:tcPr>
            <w:tcW w:type="dxa" w:w="3209"/>
            <w:tcBorders>
              <w:top w:val="single" w:color="000000" w:sz="8"/>
              <w:left w:val="none" w:color="FFFFFF" w:sz="0"/>
              <w:bottom w:val="single" w:color="000000" w:sz="8"/>
              <w:right w:val="none" w:color="FFFFFF" w:sz="0"/>
            </w:tcBorders>
            <w:tcMar>
              <w:top w:type="dxa" w:w="40"/>
              <w:left w:type="dxa" w:w="80"/>
              <w:bottom w:type="dxa" w:w="40"/>
              <w:right w:type="dxa" w:w="80"/>
            </w:tcMar>
          </w:tcPr>
          <w:p>
            <w:pPr>
              <w:keepNext/>
              <w:jc w:val="left"/>
            </w:pPr>
            <w:r>
              <w:rPr>
                <w:b w:val="false"/>
                <w:bCs w:val="false"/>
              </w:rPr>
              <w:t xml:space="preserve">Run</w:t>
            </w:r>
          </w:p>
        </w:tc>
        <w:tc>
          <w:tcPr>
            <w:tcW w:type="dxa" w:w="5817"/>
            <w:tcBorders>
              <w:top w:val="single" w:color="000000" w:sz="8"/>
              <w:left w:val="none" w:color="FFFFFF" w:sz="0"/>
              <w:bottom w:val="single" w:color="000000" w:sz="8"/>
              <w:right w:val="none" w:color="FFFFFF" w:sz="0"/>
            </w:tcBorders>
            <w:tcMar>
              <w:top w:type="dxa" w:w="40"/>
              <w:left w:type="dxa" w:w="80"/>
              <w:bottom w:type="dxa" w:w="40"/>
              <w:right w:type="dxa" w:w="80"/>
            </w:tcMar>
          </w:tcPr>
          <w:p>
            <w:pPr>
              <w:keepNext/>
              <w:jc w:val="left"/>
            </w:pPr>
            <w:r>
              <w:rPr>
                <w:b w:val="false"/>
                <w:bCs w:val="false"/>
              </w:rPr>
              <w:t xml:space="preserve">Description</w:t>
            </w:r>
          </w:p>
        </w:tc>
      </w:tr>
      <w:tr>
        <w:trPr>
          <w:cantSplit/>
        </w:trPr>
        <w:tc>
          <w:tcPr>
            <w:tcW w:type="dxa" w:w="3209"/>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left"/>
            </w:pPr>
            <w:r>
              <w:rPr>
                <w:b w:val="false"/>
                <w:bCs w:val="false"/>
              </w:rPr>
              <w:t xml:space="preserve">Boolean (AND)</w:t>
            </w:r>
          </w:p>
        </w:tc>
        <w:tc>
          <w:tcPr>
            <w:tcW w:type="dxa" w:w="5817"/>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left"/>
            </w:pPr>
            <w:r>
              <w:rPr>
                <w:b w:val="false"/>
                <w:bCs w:val="false"/>
              </w:rPr>
              <w:t xml:space="preserve">Documents containing every query word, unranked</w:t>
            </w:r>
          </w:p>
        </w:tc>
      </w:tr>
      <w:tr>
        <w:trPr>
          <w:cantSplit/>
        </w:trPr>
        <w:tc>
          <w:tcPr>
            <w:tcW w:type="dxa" w:w="3209"/>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left"/>
            </w:pPr>
            <w:r>
              <w:rPr>
                <w:b w:val="false"/>
                <w:bCs w:val="false"/>
              </w:rPr>
              <w:t xml:space="preserve">TF-IDF</w:t>
            </w:r>
          </w:p>
        </w:tc>
        <w:tc>
          <w:tcPr>
            <w:tcW w:type="dxa" w:w="5817"/>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left"/>
            </w:pPr>
            <w:r>
              <w:rPr>
                <w:b w:val="false"/>
                <w:bCs w:val="false"/>
              </w:rPr>
              <w:t xml:space="preserve">Vector space model, cosine similarity</w:t>
            </w:r>
          </w:p>
        </w:tc>
      </w:tr>
      <w:tr>
        <w:trPr>
          <w:cantSplit/>
        </w:trPr>
        <w:tc>
          <w:tcPr>
            <w:tcW w:type="dxa" w:w="3209"/>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left"/>
            </w:pPr>
            <w:r>
              <w:rPr>
                <w:b w:val="false"/>
                <w:bCs w:val="false"/>
              </w:rPr>
              <w:t xml:space="preserve">BM25F</w:t>
            </w:r>
          </w:p>
        </w:tc>
        <w:tc>
          <w:tcPr>
            <w:tcW w:type="dxa" w:w="5817"/>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left"/>
            </w:pPr>
            <w:r>
              <w:rPr>
                <w:b w:val="false"/>
                <w:bCs w:val="false"/>
              </w:rPr>
              <w:t xml:space="preserve">BM25 over the title, place and body fields (k1 = 1.2, b = 0.75); the baseline</w:t>
            </w:r>
          </w:p>
        </w:tc>
      </w:tr>
      <w:tr>
        <w:trPr>
          <w:cantSplit/>
        </w:trPr>
        <w:tc>
          <w:tcPr>
            <w:tcW w:type="dxa" w:w="3209"/>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left"/>
            </w:pPr>
            <w:r>
              <w:rPr>
                <w:b w:val="false"/>
                <w:bCs w:val="false"/>
              </w:rPr>
              <w:t xml:space="preserve">TF-IDF + expansion</w:t>
            </w:r>
          </w:p>
        </w:tc>
        <w:tc>
          <w:tcPr>
            <w:tcW w:type="dxa" w:w="5817"/>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left"/>
            </w:pPr>
            <w:r>
              <w:rPr>
                <w:b w:val="false"/>
                <w:bCs w:val="false"/>
              </w:rPr>
              <w:t xml:space="preserve">TF-IDF with translation and spelling correction of the query</w:t>
            </w:r>
          </w:p>
        </w:tc>
      </w:tr>
      <w:tr>
        <w:trPr>
          <w:cantSplit/>
        </w:trPr>
        <w:tc>
          <w:tcPr>
            <w:tcW w:type="dxa" w:w="3209"/>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left"/>
            </w:pPr>
            <w:r>
              <w:rPr>
                <w:b w:val="false"/>
                <w:bCs w:val="false"/>
              </w:rPr>
              <w:t xml:space="preserve">BM25F + expansion</w:t>
            </w:r>
          </w:p>
        </w:tc>
        <w:tc>
          <w:tcPr>
            <w:tcW w:type="dxa" w:w="5817"/>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left"/>
            </w:pPr>
            <w:r>
              <w:rPr>
                <w:b w:val="false"/>
                <w:bCs w:val="false"/>
              </w:rPr>
              <w:t xml:space="preserve">BM25F with translation and spelling correction</w:t>
            </w:r>
          </w:p>
        </w:tc>
      </w:tr>
      <w:tr>
        <w:trPr>
          <w:cantSplit/>
        </w:trPr>
        <w:tc>
          <w:tcPr>
            <w:tcW w:type="dxa" w:w="3209"/>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left"/>
            </w:pPr>
            <w:r>
              <w:rPr>
                <w:b w:val="false"/>
                <w:bCs w:val="false"/>
              </w:rPr>
              <w:t xml:space="preserve">Hybrid RRF + expansion</w:t>
            </w:r>
          </w:p>
        </w:tc>
        <w:tc>
          <w:tcPr>
            <w:tcW w:type="dxa" w:w="5817"/>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left"/>
            </w:pPr>
            <w:r>
              <w:rPr>
                <w:b w:val="false"/>
                <w:bCs w:val="false"/>
              </w:rPr>
              <w:t xml:space="preserve">Reciprocal Rank Fusion of the two runs above</w:t>
            </w:r>
          </w:p>
        </w:tc>
      </w:tr>
      <w:tr>
        <w:trPr>
          <w:cantSplit/>
        </w:trPr>
        <w:tc>
          <w:tcPr>
            <w:tcW w:type="dxa" w:w="3209"/>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left"/>
            </w:pPr>
            <w:r>
              <w:rPr>
                <w:b w:val="false"/>
                <w:bCs w:val="false"/>
              </w:rPr>
              <w:t xml:space="preserve">BM25F + expansion, no segmentation</w:t>
            </w:r>
          </w:p>
        </w:tc>
        <w:tc>
          <w:tcPr>
            <w:tcW w:type="dxa" w:w="5817"/>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left"/>
            </w:pPr>
            <w:r>
              <w:rPr>
                <w:b w:val="false"/>
                <w:bCs w:val="false"/>
              </w:rPr>
              <w:t xml:space="preserve">Ablation: web addresses are not split into words</w:t>
            </w:r>
          </w:p>
        </w:tc>
      </w:tr>
      <w:tr>
        <w:trPr>
          <w:cantSplit/>
        </w:trPr>
        <w:tc>
          <w:tcPr>
            <w:tcW w:type="dxa" w:w="3209"/>
            <w:tcBorders>
              <w:top w:val="none" w:color="FFFFFF" w:sz="0"/>
              <w:left w:val="none" w:color="FFFFFF" w:sz="0"/>
              <w:bottom w:val="single" w:color="000000" w:sz="8"/>
              <w:right w:val="none" w:color="FFFFFF" w:sz="0"/>
            </w:tcBorders>
            <w:tcMar>
              <w:top w:type="dxa" w:w="40"/>
              <w:left w:type="dxa" w:w="80"/>
              <w:bottom w:type="dxa" w:w="40"/>
              <w:right w:type="dxa" w:w="80"/>
            </w:tcMar>
          </w:tcPr>
          <w:p>
            <w:pPr>
              <w:keepNext/>
              <w:jc w:val="left"/>
            </w:pPr>
            <w:r>
              <w:rPr>
                <w:b w:val="false"/>
                <w:bCs w:val="false"/>
              </w:rPr>
              <w:t xml:space="preserve">BM25F + expansion, tuned</w:t>
            </w:r>
          </w:p>
        </w:tc>
        <w:tc>
          <w:tcPr>
            <w:tcW w:type="dxa" w:w="5817"/>
            <w:tcBorders>
              <w:top w:val="none" w:color="FFFFFF" w:sz="0"/>
              <w:left w:val="none" w:color="FFFFFF" w:sz="0"/>
              <w:bottom w:val="single" w:color="000000" w:sz="8"/>
              <w:right w:val="none" w:color="FFFFFF" w:sz="0"/>
            </w:tcBorders>
            <w:tcMar>
              <w:top w:type="dxa" w:w="40"/>
              <w:left w:type="dxa" w:w="80"/>
              <w:bottom w:type="dxa" w:w="40"/>
              <w:right w:type="dxa" w:w="80"/>
            </w:tcMar>
          </w:tcPr>
          <w:p>
            <w:pPr>
              <w:keepNext/>
              <w:jc w:val="left"/>
            </w:pPr>
            <w:r>
              <w:rPr>
                <w:b w:val="false"/>
                <w:bCs w:val="false"/>
              </w:rPr>
              <w:t xml:space="preserve">BM25F + expansion with k1 = 0.5 and b = 0.25 (tuned on the dev queries)</w:t>
            </w:r>
          </w:p>
        </w:tc>
      </w:tr>
    </w:tbl>
    <w:p>
      <w:pPr>
        <w:spacing w:line="480"/>
      </w:pPr>
    </w:p>
    <w:p>
      <w:pPr>
        <w:pStyle w:val="Heading2"/>
      </w:pPr>
      <w:r>
        <w:t xml:space="preserve">Test Collection</w:t>
      </w:r>
    </w:p>
    <w:p>
      <w:pPr>
        <w:spacing w:after="0" w:before="0" w:line="480"/>
        <w:ind w:firstLine="720"/>
      </w:pPr>
      <w:r>
        <w:t xml:space="preserve">The test collection has 461 queries in six groups (Table 2). Because nobody had labelled the documents by hand, the relevance judgments were derived from the metadata of the dataset, which makes them objective and repeatable. This week the judgments were made graded: a document is relevant (grade 2) when it is exactly what the query asks for, and partially relevant (grade 1) when it is closely related but not the answer. For example, for “local governments in Kaski district” every local government in Kaski is relevant and the page about Kaski District, which lists them, is partially relevant. In total there are 1,891 relevant and 235 partially relevant judgments.</w:t>
      </w:r>
    </w:p>
    <w:p>
      <w:pPr>
        <w:keepNext/>
        <w:spacing w:before="240" w:line="480"/>
      </w:pPr>
      <w:r>
        <w:rPr>
          <w:b/>
          <w:bCs/>
        </w:rPr>
        <w:t xml:space="preserve">Table 2</w:t>
      </w:r>
    </w:p>
    <w:p>
      <w:pPr>
        <w:keepNext/>
        <w:spacing w:line="480"/>
      </w:pPr>
      <w:r>
        <w:rPr>
          <w:i/>
          <w:iCs/>
        </w:rPr>
        <w:t xml:space="preserve">Test Query Groups and Relevance Grades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579"/>
        <w:gridCol w:w="921"/>
        <w:gridCol w:w="2026"/>
        <w:gridCol w:w="1750"/>
        <w:gridCol w:w="1750"/>
      </w:tblGrid>
      <w:tr>
        <w:trPr>
          <w:tblHeader/>
        </w:trPr>
        <w:tc>
          <w:tcPr>
            <w:tcW w:type="dxa" w:w="2579"/>
            <w:tcBorders>
              <w:top w:val="single" w:color="000000" w:sz="8"/>
              <w:left w:val="none" w:color="FFFFFF" w:sz="0"/>
              <w:bottom w:val="single" w:color="000000" w:sz="8"/>
              <w:right w:val="none" w:color="FFFFFF" w:sz="0"/>
            </w:tcBorders>
            <w:tcMar>
              <w:top w:type="dxa" w:w="40"/>
              <w:left w:type="dxa" w:w="80"/>
              <w:bottom w:type="dxa" w:w="40"/>
              <w:right w:type="dxa" w:w="80"/>
            </w:tcMar>
          </w:tcPr>
          <w:p>
            <w:pPr>
              <w:keepNext/>
              <w:jc w:val="left"/>
            </w:pPr>
            <w:r>
              <w:rPr>
                <w:b w:val="false"/>
                <w:bCs w:val="false"/>
              </w:rPr>
              <w:t xml:space="preserve">Group</w:t>
            </w:r>
          </w:p>
        </w:tc>
        <w:tc>
          <w:tcPr>
            <w:tcW w:type="dxa" w:w="921"/>
            <w:tcBorders>
              <w:top w:val="single" w:color="000000" w:sz="8"/>
              <w:left w:val="none" w:color="FFFFFF" w:sz="0"/>
              <w:bottom w:val="single" w:color="000000" w:sz="8"/>
              <w:right w:val="none" w:color="FFFFFF" w:sz="0"/>
            </w:tcBorders>
            <w:tcMar>
              <w:top w:type="dxa" w:w="40"/>
              <w:left w:type="dxa" w:w="80"/>
              <w:bottom w:type="dxa" w:w="40"/>
              <w:right w:type="dxa" w:w="80"/>
            </w:tcMar>
          </w:tcPr>
          <w:p>
            <w:pPr>
              <w:keepNext/>
              <w:jc w:val="left"/>
            </w:pPr>
            <w:r>
              <w:rPr>
                <w:b w:val="false"/>
                <w:bCs w:val="false"/>
              </w:rPr>
              <w:t xml:space="preserve">Queries</w:t>
            </w:r>
          </w:p>
        </w:tc>
        <w:tc>
          <w:tcPr>
            <w:tcW w:type="dxa" w:w="2026"/>
            <w:tcBorders>
              <w:top w:val="single" w:color="000000" w:sz="8"/>
              <w:left w:val="none" w:color="FFFFFF" w:sz="0"/>
              <w:bottom w:val="single" w:color="000000" w:sz="8"/>
              <w:right w:val="none" w:color="FFFFFF" w:sz="0"/>
            </w:tcBorders>
            <w:tcMar>
              <w:top w:type="dxa" w:w="40"/>
              <w:left w:type="dxa" w:w="80"/>
              <w:bottom w:type="dxa" w:w="40"/>
              <w:right w:type="dxa" w:w="80"/>
            </w:tcMar>
          </w:tcPr>
          <w:p>
            <w:pPr>
              <w:keepNext/>
              <w:jc w:val="left"/>
            </w:pPr>
            <w:r>
              <w:rPr>
                <w:b w:val="false"/>
                <w:bCs w:val="false"/>
              </w:rPr>
              <w:t xml:space="preserve">Example</w:t>
            </w:r>
          </w:p>
        </w:tc>
        <w:tc>
          <w:tcPr>
            <w:tcW w:type="dxa" w:w="1750"/>
            <w:tcBorders>
              <w:top w:val="single" w:color="000000" w:sz="8"/>
              <w:left w:val="none" w:color="FFFFFF" w:sz="0"/>
              <w:bottom w:val="single" w:color="000000" w:sz="8"/>
              <w:right w:val="none" w:color="FFFFFF" w:sz="0"/>
            </w:tcBorders>
            <w:tcMar>
              <w:top w:type="dxa" w:w="40"/>
              <w:left w:type="dxa" w:w="80"/>
              <w:bottom w:type="dxa" w:w="40"/>
              <w:right w:type="dxa" w:w="80"/>
            </w:tcMar>
          </w:tcPr>
          <w:p>
            <w:pPr>
              <w:keepNext/>
              <w:jc w:val="left"/>
            </w:pPr>
            <w:r>
              <w:rPr>
                <w:b w:val="false"/>
                <w:bCs w:val="false"/>
              </w:rPr>
              <w:t xml:space="preserve">Relevant (grade 2)</w:t>
            </w:r>
          </w:p>
        </w:tc>
        <w:tc>
          <w:tcPr>
            <w:tcW w:type="dxa" w:w="1750"/>
            <w:tcBorders>
              <w:top w:val="single" w:color="000000" w:sz="8"/>
              <w:left w:val="none" w:color="FFFFFF" w:sz="0"/>
              <w:bottom w:val="single" w:color="000000" w:sz="8"/>
              <w:right w:val="none" w:color="FFFFFF" w:sz="0"/>
            </w:tcBorders>
            <w:tcMar>
              <w:top w:type="dxa" w:w="40"/>
              <w:left w:type="dxa" w:w="80"/>
              <w:bottom w:type="dxa" w:w="40"/>
              <w:right w:type="dxa" w:w="80"/>
            </w:tcMar>
          </w:tcPr>
          <w:p>
            <w:pPr>
              <w:keepNext/>
              <w:jc w:val="left"/>
            </w:pPr>
            <w:r>
              <w:rPr>
                <w:b w:val="false"/>
                <w:bCs w:val="false"/>
              </w:rPr>
              <w:t xml:space="preserve">Partially relevant (grade 1)</w:t>
            </w:r>
          </w:p>
        </w:tc>
      </w:tr>
      <w:tr>
        <w:trPr>
          <w:cantSplit/>
        </w:trPr>
        <w:tc>
          <w:tcPr>
            <w:tcW w:type="dxa" w:w="2579"/>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left"/>
            </w:pPr>
            <w:r>
              <w:rPr>
                <w:b w:val="false"/>
                <w:bCs w:val="false"/>
              </w:rPr>
              <w:t xml:space="preserve">T1 Local governments by district (English)</w:t>
            </w:r>
          </w:p>
        </w:tc>
        <w:tc>
          <w:tcPr>
            <w:tcW w:type="dxa" w:w="921"/>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left"/>
            </w:pPr>
            <w:r>
              <w:rPr>
                <w:b w:val="false"/>
                <w:bCs w:val="false"/>
              </w:rPr>
              <w:t xml:space="preserve">77</w:t>
            </w:r>
          </w:p>
        </w:tc>
        <w:tc>
          <w:tcPr>
            <w:tcW w:type="dxa" w:w="2026"/>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left"/>
            </w:pPr>
            <w:r>
              <w:rPr>
                <w:b w:val="false"/>
                <w:bCs w:val="false"/>
              </w:rPr>
              <w:t xml:space="preserve">local governments in Kaski district</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left"/>
            </w:pPr>
            <w:r>
              <w:rPr>
                <w:b w:val="false"/>
                <w:bCs w:val="false"/>
              </w:rPr>
              <w:t xml:space="preserve">Local governments in the district</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left"/>
            </w:pPr>
            <w:r>
              <w:rPr>
                <w:b w:val="false"/>
                <w:bCs w:val="false"/>
              </w:rPr>
              <w:t xml:space="preserve">The district’s page</w:t>
            </w:r>
          </w:p>
        </w:tc>
      </w:tr>
      <w:tr>
        <w:trPr>
          <w:cantSplit/>
        </w:trPr>
        <w:tc>
          <w:tcPr>
            <w:tcW w:type="dxa" w:w="2579"/>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left"/>
            </w:pPr>
            <w:r>
              <w:rPr>
                <w:b w:val="false"/>
                <w:bCs w:val="false"/>
              </w:rPr>
              <w:t xml:space="preserve">T2 Local governments by district (Nepali)</w:t>
            </w:r>
          </w:p>
        </w:tc>
        <w:tc>
          <w:tcPr>
            <w:tcW w:type="dxa" w:w="921"/>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left"/>
            </w:pPr>
            <w:r>
              <w:rPr>
                <w:b w:val="false"/>
                <w:bCs w:val="false"/>
              </w:rPr>
              <w:t xml:space="preserve">77</w:t>
            </w:r>
          </w:p>
        </w:tc>
        <w:tc>
          <w:tcPr>
            <w:tcW w:type="dxa" w:w="2026"/>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left"/>
            </w:pPr>
            <w:r>
              <w:rPr>
                <w:b w:val="false"/>
                <w:bCs w:val="false"/>
              </w:rPr>
              <w:t xml:space="preserve">कास्की जिल्लाका स्थानीय तह</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left"/>
            </w:pPr>
            <w:r>
              <w:rPr>
                <w:b w:val="false"/>
                <w:bCs w:val="false"/>
              </w:rPr>
              <w:t xml:space="preserve">Same as T1</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left"/>
            </w:pPr>
            <w:r>
              <w:rPr>
                <w:b w:val="false"/>
                <w:bCs w:val="false"/>
              </w:rPr>
              <w:t xml:space="preserve">Same as T1</w:t>
            </w:r>
          </w:p>
        </w:tc>
      </w:tr>
      <w:tr>
        <w:trPr>
          <w:cantSplit/>
        </w:trPr>
        <w:tc>
          <w:tcPr>
            <w:tcW w:type="dxa" w:w="2579"/>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left"/>
            </w:pPr>
            <w:r>
              <w:rPr>
                <w:b w:val="false"/>
                <w:bCs w:val="false"/>
              </w:rPr>
              <w:t xml:space="preserve">T3 Districts by province</w:t>
            </w:r>
          </w:p>
        </w:tc>
        <w:tc>
          <w:tcPr>
            <w:tcW w:type="dxa" w:w="921"/>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left"/>
            </w:pPr>
            <w:r>
              <w:rPr>
                <w:b w:val="false"/>
                <w:bCs w:val="false"/>
              </w:rPr>
              <w:t xml:space="preserve">7</w:t>
            </w:r>
          </w:p>
        </w:tc>
        <w:tc>
          <w:tcPr>
            <w:tcW w:type="dxa" w:w="2026"/>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left"/>
            </w:pPr>
            <w:r>
              <w:rPr>
                <w:b w:val="false"/>
                <w:bCs w:val="false"/>
              </w:rPr>
              <w:t xml:space="preserve">districts of Gandaki province</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left"/>
            </w:pPr>
            <w:r>
              <w:rPr>
                <w:b w:val="false"/>
                <w:bCs w:val="false"/>
              </w:rPr>
              <w:t xml:space="preserve">Districts in the province</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left"/>
            </w:pPr>
            <w:r>
              <w:rPr>
                <w:b w:val="false"/>
                <w:bCs w:val="false"/>
              </w:rPr>
              <w:t xml:space="preserve">The province’s page</w:t>
            </w:r>
          </w:p>
        </w:tc>
      </w:tr>
      <w:tr>
        <w:trPr>
          <w:cantSplit/>
        </w:trPr>
        <w:tc>
          <w:tcPr>
            <w:tcW w:type="dxa" w:w="2579"/>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left"/>
            </w:pPr>
            <w:r>
              <w:rPr>
                <w:b w:val="false"/>
                <w:bCs w:val="false"/>
              </w:rPr>
              <w:t xml:space="preserve">T4 Local government by name</w:t>
            </w:r>
          </w:p>
        </w:tc>
        <w:tc>
          <w:tcPr>
            <w:tcW w:type="dxa" w:w="921"/>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left"/>
            </w:pPr>
            <w:r>
              <w:rPr>
                <w:b w:val="false"/>
                <w:bCs w:val="false"/>
              </w:rPr>
              <w:t xml:space="preserve">100</w:t>
            </w:r>
          </w:p>
        </w:tc>
        <w:tc>
          <w:tcPr>
            <w:tcW w:type="dxa" w:w="2026"/>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left"/>
            </w:pPr>
            <w:r>
              <w:rPr>
                <w:b w:val="false"/>
                <w:bCs w:val="false"/>
              </w:rPr>
              <w:t xml:space="preserve">Bhumlu</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left"/>
            </w:pPr>
            <w:r>
              <w:rPr>
                <w:b w:val="false"/>
                <w:bCs w:val="false"/>
              </w:rPr>
              <w:t xml:space="preserve">That local government</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left"/>
            </w:pPr>
            <w:r>
              <w:rPr>
                <w:b w:val="false"/>
                <w:bCs w:val="false"/>
              </w:rPr>
              <w:t xml:space="preserve">Websites about that place</w:t>
            </w:r>
          </w:p>
        </w:tc>
      </w:tr>
      <w:tr>
        <w:trPr>
          <w:cantSplit/>
        </w:trPr>
        <w:tc>
          <w:tcPr>
            <w:tcW w:type="dxa" w:w="2579"/>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left"/>
            </w:pPr>
            <w:r>
              <w:rPr>
                <w:b w:val="false"/>
                <w:bCs w:val="false"/>
              </w:rPr>
              <w:t xml:space="preserve">T5 Name with a typo</w:t>
            </w:r>
          </w:p>
        </w:tc>
        <w:tc>
          <w:tcPr>
            <w:tcW w:type="dxa" w:w="921"/>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left"/>
            </w:pPr>
            <w:r>
              <w:rPr>
                <w:b w:val="false"/>
                <w:bCs w:val="false"/>
              </w:rPr>
              <w:t xml:space="preserve">100</w:t>
            </w:r>
          </w:p>
        </w:tc>
        <w:tc>
          <w:tcPr>
            <w:tcW w:type="dxa" w:w="2026"/>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left"/>
            </w:pPr>
            <w:r>
              <w:rPr>
                <w:b w:val="false"/>
                <w:bCs w:val="false"/>
              </w:rPr>
              <w:t xml:space="preserve">Bhulu</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left"/>
            </w:pPr>
            <w:r>
              <w:rPr>
                <w:b w:val="false"/>
                <w:bCs w:val="false"/>
              </w:rPr>
              <w:t xml:space="preserve">Same as T4</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left"/>
            </w:pPr>
            <w:r>
              <w:rPr>
                <w:b w:val="false"/>
                <w:bCs w:val="false"/>
              </w:rPr>
              <w:t xml:space="preserve">Same as T4</w:t>
            </w:r>
          </w:p>
        </w:tc>
      </w:tr>
      <w:tr>
        <w:trPr>
          <w:cantSplit/>
        </w:trPr>
        <w:tc>
          <w:tcPr>
            <w:tcW w:type="dxa" w:w="2579"/>
            <w:tcBorders>
              <w:top w:val="none" w:color="FFFFFF" w:sz="0"/>
              <w:left w:val="none" w:color="FFFFFF" w:sz="0"/>
              <w:bottom w:val="single" w:color="000000" w:sz="8"/>
              <w:right w:val="none" w:color="FFFFFF" w:sz="0"/>
            </w:tcBorders>
            <w:tcMar>
              <w:top w:type="dxa" w:w="40"/>
              <w:left w:type="dxa" w:w="80"/>
              <w:bottom w:type="dxa" w:w="40"/>
              <w:right w:type="dxa" w:w="80"/>
            </w:tcMar>
          </w:tcPr>
          <w:p>
            <w:pPr>
              <w:keepNext/>
              <w:jc w:val="left"/>
            </w:pPr>
            <w:r>
              <w:rPr>
                <w:b w:val="false"/>
                <w:bCs w:val="false"/>
              </w:rPr>
              <w:t xml:space="preserve">T6 Website by name</w:t>
            </w:r>
          </w:p>
        </w:tc>
        <w:tc>
          <w:tcPr>
            <w:tcW w:type="dxa" w:w="921"/>
            <w:tcBorders>
              <w:top w:val="none" w:color="FFFFFF" w:sz="0"/>
              <w:left w:val="none" w:color="FFFFFF" w:sz="0"/>
              <w:bottom w:val="single" w:color="000000" w:sz="8"/>
              <w:right w:val="none" w:color="FFFFFF" w:sz="0"/>
            </w:tcBorders>
            <w:tcMar>
              <w:top w:type="dxa" w:w="40"/>
              <w:left w:type="dxa" w:w="80"/>
              <w:bottom w:type="dxa" w:w="40"/>
              <w:right w:type="dxa" w:w="80"/>
            </w:tcMar>
          </w:tcPr>
          <w:p>
            <w:pPr>
              <w:keepNext/>
              <w:jc w:val="left"/>
            </w:pPr>
            <w:r>
              <w:rPr>
                <w:b w:val="false"/>
                <w:bCs w:val="false"/>
              </w:rPr>
              <w:t xml:space="preserve">100</w:t>
            </w:r>
          </w:p>
        </w:tc>
        <w:tc>
          <w:tcPr>
            <w:tcW w:type="dxa" w:w="2026"/>
            <w:tcBorders>
              <w:top w:val="none" w:color="FFFFFF" w:sz="0"/>
              <w:left w:val="none" w:color="FFFFFF" w:sz="0"/>
              <w:bottom w:val="single" w:color="000000" w:sz="8"/>
              <w:right w:val="none" w:color="FFFFFF" w:sz="0"/>
            </w:tcBorders>
            <w:tcMar>
              <w:top w:type="dxa" w:w="40"/>
              <w:left w:type="dxa" w:w="80"/>
              <w:bottom w:type="dxa" w:w="40"/>
              <w:right w:type="dxa" w:w="80"/>
            </w:tcMar>
          </w:tcPr>
          <w:p>
            <w:pPr>
              <w:keepNext/>
              <w:jc w:val="left"/>
            </w:pPr>
            <w:r>
              <w:rPr>
                <w:b w:val="false"/>
                <w:bCs w:val="false"/>
              </w:rPr>
              <w:t xml:space="preserve">rastriya sandesh</w:t>
            </w:r>
          </w:p>
        </w:tc>
        <w:tc>
          <w:tcPr>
            <w:tcW w:type="dxa" w:w="1750"/>
            <w:tcBorders>
              <w:top w:val="none" w:color="FFFFFF" w:sz="0"/>
              <w:left w:val="none" w:color="FFFFFF" w:sz="0"/>
              <w:bottom w:val="single" w:color="000000" w:sz="8"/>
              <w:right w:val="none" w:color="FFFFFF" w:sz="0"/>
            </w:tcBorders>
            <w:tcMar>
              <w:top w:type="dxa" w:w="40"/>
              <w:left w:type="dxa" w:w="80"/>
              <w:bottom w:type="dxa" w:w="40"/>
              <w:right w:type="dxa" w:w="80"/>
            </w:tcMar>
          </w:tcPr>
          <w:p>
            <w:pPr>
              <w:keepNext/>
              <w:jc w:val="left"/>
            </w:pPr>
            <w:r>
              <w:rPr>
                <w:b w:val="false"/>
                <w:bCs w:val="false"/>
              </w:rPr>
              <w:t xml:space="preserve">That website</w:t>
            </w:r>
          </w:p>
        </w:tc>
        <w:tc>
          <w:tcPr>
            <w:tcW w:type="dxa" w:w="1750"/>
            <w:tcBorders>
              <w:top w:val="none" w:color="FFFFFF" w:sz="0"/>
              <w:left w:val="none" w:color="FFFFFF" w:sz="0"/>
              <w:bottom w:val="single" w:color="000000" w:sz="8"/>
              <w:right w:val="none" w:color="FFFFFF" w:sz="0"/>
            </w:tcBorders>
            <w:tcMar>
              <w:top w:type="dxa" w:w="40"/>
              <w:left w:type="dxa" w:w="80"/>
              <w:bottom w:type="dxa" w:w="40"/>
              <w:right w:type="dxa" w:w="80"/>
            </w:tcMar>
          </w:tcPr>
          <w:p>
            <w:pPr>
              <w:keepNext/>
              <w:jc w:val="left"/>
            </w:pPr>
            <w:r>
              <w:rPr>
                <w:b w:val="false"/>
                <w:bCs w:val="false"/>
              </w:rPr>
              <w:t xml:space="preserve">None</w:t>
            </w:r>
          </w:p>
        </w:tc>
      </w:tr>
    </w:tbl>
    <w:p>
      <w:pPr>
        <w:spacing w:line="480"/>
      </w:pPr>
    </w:p>
    <w:p>
      <w:pPr>
        <w:pStyle w:val="Heading2"/>
      </w:pPr>
      <w:r>
        <w:t xml:space="preserve">Evaluation Measures</w:t>
      </w:r>
    </w:p>
    <w:p>
      <w:pPr>
        <w:spacing w:after="0" w:before="0" w:line="480"/>
        <w:ind w:firstLine="720"/>
      </w:pPr>
      <w:r>
        <w:t xml:space="preserve">Eleven measures were used (Table 3), following Manning et al. (2008) and Järvelin and Kekäläinen (2002). Each is computed for one query and then averaged over all queries. The set-based and rank-based measures use binary relevance (only grade 2 counts), so they are directly comparable with Week 6; nDCG uses both grades, with a gain of 2^grade − 1, so a relevant document is worth three times a partially relevant one.</w:t>
      </w:r>
    </w:p>
    <w:p>
      <w:pPr>
        <w:keepNext/>
        <w:spacing w:before="240" w:line="480"/>
      </w:pPr>
      <w:r>
        <w:rPr>
          <w:b/>
          <w:bCs/>
        </w:rPr>
        <w:t xml:space="preserve">Table 3</w:t>
      </w:r>
    </w:p>
    <w:p>
      <w:pPr>
        <w:keepNext/>
        <w:spacing w:line="480"/>
      </w:pPr>
      <w:r>
        <w:rPr>
          <w:i/>
          <w:iCs/>
        </w:rPr>
        <w:t xml:space="preserve">Evaluation Measures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006"/>
        <w:gridCol w:w="4714"/>
        <w:gridCol w:w="2306"/>
      </w:tblGrid>
      <w:tr>
        <w:trPr>
          <w:tblHeader/>
        </w:trPr>
        <w:tc>
          <w:tcPr>
            <w:tcW w:type="dxa" w:w="2006"/>
            <w:tcBorders>
              <w:top w:val="single" w:color="000000" w:sz="8"/>
              <w:left w:val="none" w:color="FFFFFF" w:sz="0"/>
              <w:bottom w:val="single" w:color="000000" w:sz="8"/>
              <w:right w:val="none" w:color="FFFFFF" w:sz="0"/>
            </w:tcBorders>
            <w:tcMar>
              <w:top w:type="dxa" w:w="40"/>
              <w:left w:type="dxa" w:w="80"/>
              <w:bottom w:type="dxa" w:w="40"/>
              <w:right w:type="dxa" w:w="80"/>
            </w:tcMar>
          </w:tcPr>
          <w:p>
            <w:pPr>
              <w:keepNext/>
              <w:jc w:val="left"/>
            </w:pPr>
            <w:r>
              <w:rPr>
                <w:b w:val="false"/>
                <w:bCs w:val="false"/>
              </w:rPr>
              <w:t xml:space="preserve">Measure</w:t>
            </w:r>
          </w:p>
        </w:tc>
        <w:tc>
          <w:tcPr>
            <w:tcW w:type="dxa" w:w="4714"/>
            <w:tcBorders>
              <w:top w:val="single" w:color="000000" w:sz="8"/>
              <w:left w:val="none" w:color="FFFFFF" w:sz="0"/>
              <w:bottom w:val="single" w:color="000000" w:sz="8"/>
              <w:right w:val="none" w:color="FFFFFF" w:sz="0"/>
            </w:tcBorders>
            <w:tcMar>
              <w:top w:type="dxa" w:w="40"/>
              <w:left w:type="dxa" w:w="80"/>
              <w:bottom w:type="dxa" w:w="40"/>
              <w:right w:type="dxa" w:w="80"/>
            </w:tcMar>
          </w:tcPr>
          <w:p>
            <w:pPr>
              <w:keepNext/>
              <w:jc w:val="left"/>
            </w:pPr>
            <w:r>
              <w:rPr>
                <w:b w:val="false"/>
                <w:bCs w:val="false"/>
              </w:rPr>
              <w:t xml:space="preserve">What it measures</w:t>
            </w:r>
          </w:p>
        </w:tc>
        <w:tc>
          <w:tcPr>
            <w:tcW w:type="dxa" w:w="2306"/>
            <w:tcBorders>
              <w:top w:val="single" w:color="000000" w:sz="8"/>
              <w:left w:val="none" w:color="FFFFFF" w:sz="0"/>
              <w:bottom w:val="single" w:color="000000" w:sz="8"/>
              <w:right w:val="none" w:color="FFFFFF" w:sz="0"/>
            </w:tcBorders>
            <w:tcMar>
              <w:top w:type="dxa" w:w="40"/>
              <w:left w:type="dxa" w:w="80"/>
              <w:bottom w:type="dxa" w:w="40"/>
              <w:right w:type="dxa" w:w="80"/>
            </w:tcMar>
          </w:tcPr>
          <w:p>
            <w:pPr>
              <w:keepNext/>
              <w:jc w:val="left"/>
            </w:pPr>
            <w:r>
              <w:rPr>
                <w:b w:val="false"/>
                <w:bCs w:val="false"/>
              </w:rPr>
              <w:t xml:space="preserve">Best for</w:t>
            </w:r>
          </w:p>
        </w:tc>
      </w:tr>
      <w:tr>
        <w:trPr>
          <w:cantSplit/>
        </w:trPr>
        <w:tc>
          <w:tcPr>
            <w:tcW w:type="dxa" w:w="2006"/>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left"/>
            </w:pPr>
            <w:r>
              <w:rPr>
                <w:b w:val="false"/>
                <w:bCs w:val="false"/>
              </w:rPr>
              <w:t xml:space="preserve">P@5, P@10</w:t>
            </w:r>
          </w:p>
        </w:tc>
        <w:tc>
          <w:tcPr>
            <w:tcW w:type="dxa" w:w="4714"/>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left"/>
            </w:pPr>
            <w:r>
              <w:rPr>
                <w:b w:val="false"/>
                <w:bCs w:val="false"/>
              </w:rPr>
              <w:t xml:space="preserve">Share of the top 5 or top 10 results that are relevant</w:t>
            </w:r>
          </w:p>
        </w:tc>
        <w:tc>
          <w:tcPr>
            <w:tcW w:type="dxa" w:w="2306"/>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left"/>
            </w:pPr>
            <w:r>
              <w:rPr>
                <w:b w:val="false"/>
                <w:bCs w:val="false"/>
              </w:rPr>
              <w:t xml:space="preserve">What a user sees on the first page</w:t>
            </w:r>
          </w:p>
        </w:tc>
      </w:tr>
      <w:tr>
        <w:trPr>
          <w:cantSplit/>
        </w:trPr>
        <w:tc>
          <w:tcPr>
            <w:tcW w:type="dxa" w:w="2006"/>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left"/>
            </w:pPr>
            <w:r>
              <w:rPr>
                <w:b w:val="false"/>
                <w:bCs w:val="false"/>
              </w:rPr>
              <w:t xml:space="preserve">R@10, R@100</w:t>
            </w:r>
          </w:p>
        </w:tc>
        <w:tc>
          <w:tcPr>
            <w:tcW w:type="dxa" w:w="4714"/>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left"/>
            </w:pPr>
            <w:r>
              <w:rPr>
                <w:b w:val="false"/>
                <w:bCs w:val="false"/>
              </w:rPr>
              <w:t xml:space="preserve">Share of all relevant documents found in the top 10 or top 100</w:t>
            </w:r>
          </w:p>
        </w:tc>
        <w:tc>
          <w:tcPr>
            <w:tcW w:type="dxa" w:w="2306"/>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left"/>
            </w:pPr>
            <w:r>
              <w:rPr>
                <w:b w:val="false"/>
                <w:bCs w:val="false"/>
              </w:rPr>
              <w:t xml:space="preserve">Completeness</w:t>
            </w:r>
          </w:p>
        </w:tc>
      </w:tr>
      <w:tr>
        <w:trPr>
          <w:cantSplit/>
        </w:trPr>
        <w:tc>
          <w:tcPr>
            <w:tcW w:type="dxa" w:w="2006"/>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left"/>
            </w:pPr>
            <w:r>
              <w:rPr>
                <w:b w:val="false"/>
                <w:bCs w:val="false"/>
              </w:rPr>
              <w:t xml:space="preserve">F1@10</w:t>
            </w:r>
          </w:p>
        </w:tc>
        <w:tc>
          <w:tcPr>
            <w:tcW w:type="dxa" w:w="4714"/>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left"/>
            </w:pPr>
            <w:r>
              <w:rPr>
                <w:b w:val="false"/>
                <w:bCs w:val="false"/>
              </w:rPr>
              <w:t xml:space="preserve">Harmonic mean of P@10 and R@10</w:t>
            </w:r>
          </w:p>
        </w:tc>
        <w:tc>
          <w:tcPr>
            <w:tcW w:type="dxa" w:w="2306"/>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left"/>
            </w:pPr>
            <w:r>
              <w:rPr>
                <w:b w:val="false"/>
                <w:bCs w:val="false"/>
              </w:rPr>
              <w:t xml:space="preserve">Balance of precision and recall</w:t>
            </w:r>
          </w:p>
        </w:tc>
      </w:tr>
      <w:tr>
        <w:trPr>
          <w:cantSplit/>
        </w:trPr>
        <w:tc>
          <w:tcPr>
            <w:tcW w:type="dxa" w:w="2006"/>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left"/>
            </w:pPr>
            <w:r>
              <w:rPr>
                <w:b w:val="false"/>
                <w:bCs w:val="false"/>
              </w:rPr>
              <w:t xml:space="preserve">R-Precision</w:t>
            </w:r>
          </w:p>
        </w:tc>
        <w:tc>
          <w:tcPr>
            <w:tcW w:type="dxa" w:w="4714"/>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left"/>
            </w:pPr>
            <w:r>
              <w:rPr>
                <w:b w:val="false"/>
                <w:bCs w:val="false"/>
              </w:rPr>
              <w:t xml:space="preserve">Precision at rank R, where R is the number of relevant documents</w:t>
            </w:r>
          </w:p>
        </w:tc>
        <w:tc>
          <w:tcPr>
            <w:tcW w:type="dxa" w:w="2306"/>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left"/>
            </w:pPr>
            <w:r>
              <w:rPr>
                <w:b w:val="false"/>
                <w:bCs w:val="false"/>
              </w:rPr>
              <w:t xml:space="preserve">Queries with many answers</w:t>
            </w:r>
          </w:p>
        </w:tc>
      </w:tr>
      <w:tr>
        <w:trPr>
          <w:cantSplit/>
        </w:trPr>
        <w:tc>
          <w:tcPr>
            <w:tcW w:type="dxa" w:w="2006"/>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left"/>
            </w:pPr>
            <w:r>
              <w:rPr>
                <w:b w:val="false"/>
                <w:bCs w:val="false"/>
              </w:rPr>
              <w:t xml:space="preserve">MAP</w:t>
            </w:r>
          </w:p>
        </w:tc>
        <w:tc>
          <w:tcPr>
            <w:tcW w:type="dxa" w:w="4714"/>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left"/>
            </w:pPr>
            <w:r>
              <w:rPr>
                <w:b w:val="false"/>
                <w:bCs w:val="false"/>
              </w:rPr>
              <w:t xml:space="preserve">Mean of average precision: precision at each relevant document’s rank</w:t>
            </w:r>
          </w:p>
        </w:tc>
        <w:tc>
          <w:tcPr>
            <w:tcW w:type="dxa" w:w="2306"/>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left"/>
            </w:pPr>
            <w:r>
              <w:rPr>
                <w:b w:val="false"/>
                <w:bCs w:val="false"/>
              </w:rPr>
              <w:t xml:space="preserve">Overall ranking quality</w:t>
            </w:r>
          </w:p>
        </w:tc>
      </w:tr>
      <w:tr>
        <w:trPr>
          <w:cantSplit/>
        </w:trPr>
        <w:tc>
          <w:tcPr>
            <w:tcW w:type="dxa" w:w="2006"/>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left"/>
            </w:pPr>
            <w:r>
              <w:rPr>
                <w:b w:val="false"/>
                <w:bCs w:val="false"/>
              </w:rPr>
              <w:t xml:space="preserve">MRR</w:t>
            </w:r>
          </w:p>
        </w:tc>
        <w:tc>
          <w:tcPr>
            <w:tcW w:type="dxa" w:w="4714"/>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left"/>
            </w:pPr>
            <w:r>
              <w:rPr>
                <w:b w:val="false"/>
                <w:bCs w:val="false"/>
              </w:rPr>
              <w:t xml:space="preserve">Mean of 1 / rank of the first relevant document</w:t>
            </w:r>
          </w:p>
        </w:tc>
        <w:tc>
          <w:tcPr>
            <w:tcW w:type="dxa" w:w="2306"/>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left"/>
            </w:pPr>
            <w:r>
              <w:rPr>
                <w:b w:val="false"/>
                <w:bCs w:val="false"/>
              </w:rPr>
              <w:t xml:space="preserve">Known-item search</w:t>
            </w:r>
          </w:p>
        </w:tc>
      </w:tr>
      <w:tr>
        <w:trPr>
          <w:cantSplit/>
        </w:trPr>
        <w:tc>
          <w:tcPr>
            <w:tcW w:type="dxa" w:w="2006"/>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left"/>
            </w:pPr>
            <w:r>
              <w:rPr>
                <w:b w:val="false"/>
                <w:bCs w:val="false"/>
              </w:rPr>
              <w:t xml:space="preserve">S@1</w:t>
            </w:r>
          </w:p>
        </w:tc>
        <w:tc>
          <w:tcPr>
            <w:tcW w:type="dxa" w:w="4714"/>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left"/>
            </w:pPr>
            <w:r>
              <w:rPr>
                <w:b w:val="false"/>
                <w:bCs w:val="false"/>
              </w:rPr>
              <w:t xml:space="preserve">Share of queries whose first result is relevant</w:t>
            </w:r>
          </w:p>
        </w:tc>
        <w:tc>
          <w:tcPr>
            <w:tcW w:type="dxa" w:w="2306"/>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left"/>
            </w:pPr>
            <w:r>
              <w:rPr>
                <w:b w:val="false"/>
                <w:bCs w:val="false"/>
              </w:rPr>
              <w:t xml:space="preserve">“I’m feeling lucky” search</w:t>
            </w:r>
          </w:p>
        </w:tc>
      </w:tr>
      <w:tr>
        <w:trPr>
          <w:cantSplit/>
        </w:trPr>
        <w:tc>
          <w:tcPr>
            <w:tcW w:type="dxa" w:w="2006"/>
            <w:tcBorders>
              <w:top w:val="none" w:color="FFFFFF" w:sz="0"/>
              <w:left w:val="none" w:color="FFFFFF" w:sz="0"/>
              <w:bottom w:val="single" w:color="000000" w:sz="8"/>
              <w:right w:val="none" w:color="FFFFFF" w:sz="0"/>
            </w:tcBorders>
            <w:tcMar>
              <w:top w:type="dxa" w:w="40"/>
              <w:left w:type="dxa" w:w="80"/>
              <w:bottom w:type="dxa" w:w="40"/>
              <w:right w:type="dxa" w:w="80"/>
            </w:tcMar>
          </w:tcPr>
          <w:p>
            <w:pPr>
              <w:keepNext/>
              <w:jc w:val="left"/>
            </w:pPr>
            <w:r>
              <w:rPr>
                <w:b w:val="false"/>
                <w:bCs w:val="false"/>
              </w:rPr>
              <w:t xml:space="preserve">nDCG@5, nDCG@10</w:t>
            </w:r>
          </w:p>
        </w:tc>
        <w:tc>
          <w:tcPr>
            <w:tcW w:type="dxa" w:w="4714"/>
            <w:tcBorders>
              <w:top w:val="none" w:color="FFFFFF" w:sz="0"/>
              <w:left w:val="none" w:color="FFFFFF" w:sz="0"/>
              <w:bottom w:val="single" w:color="000000" w:sz="8"/>
              <w:right w:val="none" w:color="FFFFFF" w:sz="0"/>
            </w:tcBorders>
            <w:tcMar>
              <w:top w:type="dxa" w:w="40"/>
              <w:left w:type="dxa" w:w="80"/>
              <w:bottom w:type="dxa" w:w="40"/>
              <w:right w:type="dxa" w:w="80"/>
            </w:tcMar>
          </w:tcPr>
          <w:p>
            <w:pPr>
              <w:keepNext/>
              <w:jc w:val="left"/>
            </w:pPr>
            <w:r>
              <w:rPr>
                <w:b w:val="false"/>
                <w:bCs w:val="false"/>
              </w:rPr>
              <w:t xml:space="preserve">Discounted cumulative gain with graded relevance, normalised to 1</w:t>
            </w:r>
          </w:p>
        </w:tc>
        <w:tc>
          <w:tcPr>
            <w:tcW w:type="dxa" w:w="2306"/>
            <w:tcBorders>
              <w:top w:val="none" w:color="FFFFFF" w:sz="0"/>
              <w:left w:val="none" w:color="FFFFFF" w:sz="0"/>
              <w:bottom w:val="single" w:color="000000" w:sz="8"/>
              <w:right w:val="none" w:color="FFFFFF" w:sz="0"/>
            </w:tcBorders>
            <w:tcMar>
              <w:top w:type="dxa" w:w="40"/>
              <w:left w:type="dxa" w:w="80"/>
              <w:bottom w:type="dxa" w:w="40"/>
              <w:right w:type="dxa" w:w="80"/>
            </w:tcMar>
          </w:tcPr>
          <w:p>
            <w:pPr>
              <w:keepNext/>
              <w:jc w:val="left"/>
            </w:pPr>
            <w:r>
              <w:rPr>
                <w:b w:val="false"/>
                <w:bCs w:val="false"/>
              </w:rPr>
              <w:t xml:space="preserve">Graded relevance, top ranks</w:t>
            </w:r>
          </w:p>
        </w:tc>
      </w:tr>
    </w:tbl>
    <w:p>
      <w:pPr>
        <w:spacing w:line="480"/>
      </w:pPr>
    </w:p>
    <w:p>
      <w:pPr>
        <w:spacing w:after="0" w:before="0" w:line="480"/>
        <w:ind w:firstLine="720"/>
      </w:pPr>
      <w:r>
        <w:t xml:space="preserve">The main formulas are:</w:t>
      </w:r>
    </w:p>
    <w:p>
      <w:pPr>
        <w:spacing w:line="480"/>
        <w:jc w:val="center"/>
      </w:pPr>
      <w:r>
        <w:rPr>
          <w:i/>
          <w:iCs/>
        </w:rPr>
        <w:t xml:space="preserve">AP(q) = (1 / |Rel|) · Σ_k P@k · rel(k)          MAP = mean of AP(q) over all queries</w:t>
      </w:r>
    </w:p>
    <w:p>
      <w:pPr>
        <w:spacing w:line="480"/>
        <w:jc w:val="center"/>
      </w:pPr>
      <w:r>
        <w:rPr>
          <w:i/>
          <w:iCs/>
        </w:rPr>
        <w:t xml:space="preserve">DCG@k = Σ_i (2^grade(i) − 1) / log2(i + 1)          nDCG@k = DCG@k / ideal DCG@k</w:t>
      </w:r>
    </w:p>
    <w:p>
      <w:pPr>
        <w:pStyle w:val="Heading2"/>
      </w:pPr>
      <w:r>
        <w:t xml:space="preserve">Experimental Design</w:t>
      </w:r>
    </w:p>
    <w:p>
      <w:pPr>
        <w:spacing w:after="0" w:before="0" w:line="480"/>
        <w:ind w:firstLine="720"/>
      </w:pPr>
      <w:r>
        <w:t xml:space="preserve">Seven experiments were run with one command, python -m pgs_ir week7:</w:t>
      </w:r>
    </w:p>
    <w:p>
      <w:pPr>
        <w:pStyle w:val="ListParagraph"/>
        <w:numPr>
          <w:ilvl w:val="0"/>
          <w:numId w:val="2"/>
        </w:numPr>
        <w:spacing w:line="480"/>
      </w:pPr>
      <w:r>
        <w:t xml:space="preserve">E1: all runs on all eleven measures, overall and for each query group.</w:t>
      </w:r>
    </w:p>
    <w:p>
      <w:pPr>
        <w:pStyle w:val="ListParagraph"/>
        <w:numPr>
          <w:ilvl w:val="0"/>
          <w:numId w:val="2"/>
        </w:numPr>
        <w:spacing w:line="480"/>
      </w:pPr>
      <w:r>
        <w:t xml:space="preserve">E2: 11-point interpolated precision-recall curves.</w:t>
      </w:r>
    </w:p>
    <w:p>
      <w:pPr>
        <w:pStyle w:val="ListParagraph"/>
        <w:numPr>
          <w:ilvl w:val="0"/>
          <w:numId w:val="2"/>
        </w:numPr>
        <w:spacing w:line="480"/>
      </w:pPr>
      <w:r>
        <w:t xml:space="preserve">E3: statistical significance of each run against the BM25F baseline, with a two-sided paired randomisation test (10,000 permutations) on per-query AP and nDCG@10 (Smucker et al., 2007).</w:t>
      </w:r>
    </w:p>
    <w:p>
      <w:pPr>
        <w:pStyle w:val="ListParagraph"/>
        <w:numPr>
          <w:ilvl w:val="0"/>
          <w:numId w:val="2"/>
        </w:numPr>
        <w:spacing w:line="480"/>
      </w:pPr>
      <w:r>
        <w:t xml:space="preserve">E4: tuning of BM25’s k1 and b on a 5 × 5 grid. To avoid tuning on the test data, the queries were split into a development half (every other query of each group, 232 queries) used to choose the parameters and a test half (229 queries) used only to report the result.</w:t>
      </w:r>
    </w:p>
    <w:p>
      <w:pPr>
        <w:pStyle w:val="ListParagraph"/>
        <w:numPr>
          <w:ilvl w:val="0"/>
          <w:numId w:val="2"/>
        </w:numPr>
        <w:spacing w:line="480"/>
      </w:pPr>
      <w:r>
        <w:t xml:space="preserve">E5: Precision@k and Recall@k for k = 1 to 20.</w:t>
      </w:r>
    </w:p>
    <w:p>
      <w:pPr>
        <w:pStyle w:val="ListParagraph"/>
        <w:numPr>
          <w:ilvl w:val="0"/>
          <w:numId w:val="2"/>
        </w:numPr>
        <w:spacing w:line="480"/>
      </w:pPr>
      <w:r>
        <w:t xml:space="preserve">E6: the distribution of AP over queries and the queries where the best run fails.</w:t>
      </w:r>
    </w:p>
    <w:p>
      <w:pPr>
        <w:pStyle w:val="ListParagraph"/>
        <w:numPr>
          <w:ilvl w:val="0"/>
          <w:numId w:val="2"/>
        </w:numPr>
        <w:spacing w:line="480"/>
      </w:pPr>
      <w:r>
        <w:t xml:space="preserve">E7: query latency.</w:t>
      </w:r>
    </w:p>
    <w:p>
      <w:pPr>
        <w:pStyle w:val="Heading1"/>
      </w:pPr>
      <w:r>
        <w:t xml:space="preserve">Implementation</w:t>
      </w:r>
    </w:p>
    <w:p>
      <w:pPr>
        <w:spacing w:after="0" w:before="0" w:line="480"/>
        <w:ind w:firstLine="720"/>
      </w:pPr>
      <w:r>
        <w:t xml:space="preserve">The evaluation is written in Python 3 with no external libraries and adds two modules to the Week 6 code. pgs_ir/metrics.py contains one function per measure; pgs_ir/week7.py builds the graded judgments, runs the experiments and saves the results to results/week7 (JSON, Markdown and a per-query CSV file). Every function has a docstring and inline comments that explain the formula it implements.</w:t>
      </w:r>
    </w:p>
    <w:p>
      <w:pPr>
        <w:spacing w:after="0" w:before="0" w:line="480"/>
        <w:ind w:firstLine="720"/>
      </w:pPr>
      <w:r>
        <w:t xml:space="preserve">Figure 1 shows the set-based measures. Precision divides by k even when fewer than k results are returned, so missing results count as errors; recall divides by the total number of relevant documents.</w:t>
      </w:r>
    </w:p>
    <w:p>
      <w:pPr>
        <w:keepNext/>
        <w:spacing w:before="240" w:line="480"/>
      </w:pPr>
      <w:r>
        <w:rPr>
          <w:b/>
          <w:bCs/>
        </w:rPr>
        <w:t xml:space="preserve">Figure 1</w:t>
      </w:r>
    </w:p>
    <w:p>
      <w:pPr>
        <w:keepNext/>
        <w:spacing w:line="480"/>
      </w:pPr>
      <w:r>
        <w:rPr>
          <w:i/>
          <w:iCs/>
        </w:rPr>
        <w:t xml:space="preserve">Set-Based Measures: Precision, Recall, F1 and R-Precision</w:t>
      </w:r>
    </w:p>
    <w:p>
      <w:pPr>
        <w:spacing w:after="240"/>
        <w:jc w:val="center"/>
      </w:pPr>
      <w:r>
        <w:drawing>
          <wp:inline distT="0" distB="0" distL="0" distR="0">
            <wp:extent cx="5619750" cy="3333750"/>
            <wp:effectExtent t="0" r="0" b="0" l="0"/>
            <wp:docPr id="1" name="w7_code_set_measures" descr="Set-Based Measures: Precision, Recall, F1 and R-Precision" title="Set-Based Measures: Precision, Recall, F1 and R-Preci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19750" cy="3333750"/>
                    </a:xfrm>
                    <a:prstGeom prst="rect">
                      <a:avLst/>
                    </a:prstGeom>
                  </pic:spPr>
                </pic:pic>
              </a:graphicData>
            </a:graphic>
          </wp:inline>
        </w:drawing>
      </w:r>
    </w:p>
    <w:p>
      <w:pPr>
        <w:spacing w:after="0" w:before="0" w:line="480"/>
        <w:ind w:firstLine="720"/>
      </w:pPr>
      <w:r>
        <w:t xml:space="preserve">Figure 2 shows average precision and reciprocal rank. Average precision adds the precision at the rank of each relevant document and divides by the number of relevant documents, so relevant documents that were never retrieved lower the score.</w:t>
      </w:r>
    </w:p>
    <w:p>
      <w:pPr>
        <w:keepNext/>
        <w:spacing w:before="240" w:line="480"/>
      </w:pPr>
      <w:r>
        <w:rPr>
          <w:b/>
          <w:bCs/>
        </w:rPr>
        <w:t xml:space="preserve">Figure 2</w:t>
      </w:r>
    </w:p>
    <w:p>
      <w:pPr>
        <w:keepNext/>
        <w:spacing w:line="480"/>
      </w:pPr>
      <w:r>
        <w:rPr>
          <w:i/>
          <w:iCs/>
        </w:rPr>
        <w:t xml:space="preserve">Average Precision and Reciprocal Rank</w:t>
      </w:r>
    </w:p>
    <w:p>
      <w:pPr>
        <w:spacing w:after="240"/>
        <w:jc w:val="center"/>
      </w:pPr>
      <w:r>
        <w:drawing>
          <wp:inline distT="0" distB="0" distL="0" distR="0">
            <wp:extent cx="5619750" cy="2609850"/>
            <wp:effectExtent t="0" r="0" b="0" l="0"/>
            <wp:docPr id="2" name="w7_code_rank_measures" descr="Average Precision and Reciprocal Rank" title="Average Precision and Reciprocal Ra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19750" cy="2609850"/>
                    </a:xfrm>
                    <a:prstGeom prst="rect">
                      <a:avLst/>
                    </a:prstGeom>
                  </pic:spPr>
                </pic:pic>
              </a:graphicData>
            </a:graphic>
          </wp:inline>
        </w:drawing>
      </w:r>
    </w:p>
    <w:p>
      <w:pPr>
        <w:spacing w:after="0" w:before="0" w:line="480"/>
        <w:ind w:firstLine="720"/>
      </w:pPr>
      <w:r>
        <w:t xml:space="preserve">Figure 3 shows nDCG with graded relevance. The ideal DCG is computed from all judged documents sorted by grade, so a ranking that puts a partially relevant page above a relevant one loses points.</w:t>
      </w:r>
    </w:p>
    <w:p>
      <w:pPr>
        <w:keepNext/>
        <w:spacing w:before="240" w:line="480"/>
      </w:pPr>
      <w:r>
        <w:rPr>
          <w:b/>
          <w:bCs/>
        </w:rPr>
        <w:t xml:space="preserve">Figure 3</w:t>
      </w:r>
    </w:p>
    <w:p>
      <w:pPr>
        <w:keepNext/>
        <w:spacing w:line="480"/>
      </w:pPr>
      <w:r>
        <w:rPr>
          <w:i/>
          <w:iCs/>
        </w:rPr>
        <w:t xml:space="preserve">Discounted Cumulative Gain and nDCG</w:t>
      </w:r>
    </w:p>
    <w:p>
      <w:pPr>
        <w:spacing w:after="240"/>
        <w:jc w:val="center"/>
      </w:pPr>
      <w:r>
        <w:drawing>
          <wp:inline distT="0" distB="0" distL="0" distR="0">
            <wp:extent cx="5619750" cy="2028825"/>
            <wp:effectExtent t="0" r="0" b="0" l="0"/>
            <wp:docPr id="3" name="w7_code_ndcg" descr="Discounted Cumulative Gain and nDCG" title="Discounted Cumulative Gain and nDC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19750" cy="2028825"/>
                    </a:xfrm>
                    <a:prstGeom prst="rect">
                      <a:avLst/>
                    </a:prstGeom>
                  </pic:spPr>
                </pic:pic>
              </a:graphicData>
            </a:graphic>
          </wp:inline>
        </w:drawing>
      </w:r>
    </w:p>
    <w:p>
      <w:pPr>
        <w:keepNext/>
        <w:spacing w:before="240" w:line="480"/>
      </w:pPr>
      <w:r>
        <w:rPr>
          <w:b/>
          <w:bCs/>
        </w:rPr>
        <w:t xml:space="preserve">Figure 4</w:t>
      </w:r>
    </w:p>
    <w:p>
      <w:pPr>
        <w:keepNext/>
        <w:spacing w:line="480"/>
      </w:pPr>
      <w:r>
        <w:rPr>
          <w:i/>
          <w:iCs/>
        </w:rPr>
        <w:t xml:space="preserve">11-Point Interpolated Precision</w:t>
      </w:r>
    </w:p>
    <w:p>
      <w:pPr>
        <w:spacing w:after="240"/>
        <w:jc w:val="center"/>
      </w:pPr>
      <w:r>
        <w:drawing>
          <wp:inline distT="0" distB="0" distL="0" distR="0">
            <wp:extent cx="5619750" cy="1619250"/>
            <wp:effectExtent t="0" r="0" b="0" l="0"/>
            <wp:docPr id="4" name="w7_code_pr" descr="11-Point Interpolated Precision" title="11-Point Interpolated Preci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19750" cy="1619250"/>
                    </a:xfrm>
                    <a:prstGeom prst="rect">
                      <a:avLst/>
                    </a:prstGeom>
                  </pic:spPr>
                </pic:pic>
              </a:graphicData>
            </a:graphic>
          </wp:inline>
        </w:drawing>
      </w:r>
    </w:p>
    <w:p>
      <w:pPr>
        <w:spacing w:after="0" w:before="0" w:line="480"/>
        <w:ind w:firstLine="720"/>
      </w:pPr>
      <w:r>
        <w:t xml:space="preserve">Figure 5 shows how the graded judgments are built from the Week 6 topics, and Figure 6 the significance test. The randomisation test asks how often a random swap of the two systems’ scores on each query would give a difference at least as large as the one observed; if that happens in fewer than 5% of 10,000 random swaps, the difference is called significant.</w:t>
      </w:r>
    </w:p>
    <w:p>
      <w:pPr>
        <w:keepNext/>
        <w:spacing w:before="240" w:line="480"/>
      </w:pPr>
      <w:r>
        <w:rPr>
          <w:b/>
          <w:bCs/>
        </w:rPr>
        <w:t xml:space="preserve">Figure 5</w:t>
      </w:r>
    </w:p>
    <w:p>
      <w:pPr>
        <w:keepNext/>
        <w:spacing w:line="480"/>
      </w:pPr>
      <w:r>
        <w:rPr>
          <w:i/>
          <w:iCs/>
        </w:rPr>
        <w:t xml:space="preserve">Building Graded Relevance Judgments</w:t>
      </w:r>
    </w:p>
    <w:p>
      <w:pPr>
        <w:spacing w:after="240"/>
        <w:jc w:val="center"/>
      </w:pPr>
      <w:r>
        <w:drawing>
          <wp:inline distT="0" distB="0" distL="0" distR="0">
            <wp:extent cx="5619750" cy="2686050"/>
            <wp:effectExtent t="0" r="0" b="0" l="0"/>
            <wp:docPr id="5" name="w7_code_graded" descr="Building Graded Relevance Judgments" title="Building Graded Relevance Judg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19750" cy="2686050"/>
                    </a:xfrm>
                    <a:prstGeom prst="rect">
                      <a:avLst/>
                    </a:prstGeom>
                  </pic:spPr>
                </pic:pic>
              </a:graphicData>
            </a:graphic>
          </wp:inline>
        </w:drawing>
      </w:r>
    </w:p>
    <w:p>
      <w:pPr>
        <w:keepNext/>
        <w:spacing w:before="240" w:line="480"/>
      </w:pPr>
      <w:r>
        <w:rPr>
          <w:b/>
          <w:bCs/>
        </w:rPr>
        <w:t xml:space="preserve">Figure 6</w:t>
      </w:r>
    </w:p>
    <w:p>
      <w:pPr>
        <w:keepNext/>
        <w:spacing w:line="480"/>
      </w:pPr>
      <w:r>
        <w:rPr>
          <w:i/>
          <w:iCs/>
        </w:rPr>
        <w:t xml:space="preserve">Paired Randomisation Test</w:t>
      </w:r>
    </w:p>
    <w:p>
      <w:pPr>
        <w:spacing w:after="240"/>
        <w:jc w:val="center"/>
      </w:pPr>
      <w:r>
        <w:drawing>
          <wp:inline distT="0" distB="0" distL="0" distR="0">
            <wp:extent cx="5619750" cy="2905125"/>
            <wp:effectExtent t="0" r="0" b="0" l="0"/>
            <wp:docPr id="6" name="w7_code_significance" descr="Paired Randomisation Test" title="Paired Randomisation 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619750" cy="2905125"/>
                    </a:xfrm>
                    <a:prstGeom prst="rect">
                      <a:avLst/>
                    </a:prstGeom>
                  </pic:spPr>
                </pic:pic>
              </a:graphicData>
            </a:graphic>
          </wp:inline>
        </w:drawing>
      </w:r>
    </w:p>
    <w:p>
      <w:pPr>
        <w:spacing w:after="0" w:before="0" w:line="480"/>
        <w:ind w:firstLine="720"/>
      </w:pPr>
      <w:r>
        <w:t xml:space="preserve">Figure 7 shows the development/test split and the parameter grid search. Splitting within each group keeps the same mix of query types in both halves.</w:t>
      </w:r>
    </w:p>
    <w:p>
      <w:pPr>
        <w:keepNext/>
        <w:spacing w:before="240" w:line="480"/>
      </w:pPr>
      <w:r>
        <w:rPr>
          <w:b/>
          <w:bCs/>
        </w:rPr>
        <w:t xml:space="preserve">Figure 7</w:t>
      </w:r>
    </w:p>
    <w:p>
      <w:pPr>
        <w:keepNext/>
        <w:spacing w:line="480"/>
      </w:pPr>
      <w:r>
        <w:rPr>
          <w:i/>
          <w:iCs/>
        </w:rPr>
        <w:t xml:space="preserve">Development/Test Split and BM25 Parameter Tuning</w:t>
      </w:r>
    </w:p>
    <w:p>
      <w:pPr>
        <w:spacing w:after="240"/>
        <w:jc w:val="center"/>
      </w:pPr>
      <w:r>
        <w:drawing>
          <wp:inline distT="0" distB="0" distL="0" distR="0">
            <wp:extent cx="5619750" cy="2809875"/>
            <wp:effectExtent t="0" r="0" b="0" l="0"/>
            <wp:docPr id="7" name="w7_code_tuning" descr="Development/Test Split and BM25 Parameter Tuning" title="Development/Test Split and BM25 Parameter Tu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619750" cy="2809875"/>
                    </a:xfrm>
                    <a:prstGeom prst="rect">
                      <a:avLst/>
                    </a:prstGeom>
                  </pic:spPr>
                </pic:pic>
              </a:graphicData>
            </a:graphic>
          </wp:inline>
        </w:drawing>
      </w:r>
    </w:p>
    <w:p>
      <w:pPr>
        <w:spacing w:after="0" w:before="0" w:line="480"/>
        <w:ind w:firstLine="720"/>
      </w:pPr>
      <w:r>
        <w:t xml:space="preserve">The measure functions were checked against hand-worked examples with seven unit tests (Figure 8); with the Week 6 tests, all 28 tests pass.</w:t>
      </w:r>
    </w:p>
    <w:p>
      <w:pPr>
        <w:keepNext/>
        <w:spacing w:before="240" w:line="480"/>
      </w:pPr>
      <w:r>
        <w:rPr>
          <w:b/>
          <w:bCs/>
        </w:rPr>
        <w:t xml:space="preserve">Figure 8</w:t>
      </w:r>
    </w:p>
    <w:p>
      <w:pPr>
        <w:keepNext/>
        <w:spacing w:line="480"/>
      </w:pPr>
      <w:r>
        <w:rPr>
          <w:i/>
          <w:iCs/>
        </w:rPr>
        <w:t xml:space="preserve">Unit Tests for the Measures</w:t>
      </w:r>
    </w:p>
    <w:p>
      <w:pPr>
        <w:spacing w:after="240"/>
        <w:jc w:val="center"/>
      </w:pPr>
      <w:r>
        <w:drawing>
          <wp:inline distT="0" distB="0" distL="0" distR="0">
            <wp:extent cx="5619750" cy="2838450"/>
            <wp:effectExtent t="0" r="0" b="0" l="0"/>
            <wp:docPr id="8" name="w7_run_tests" descr="Unit Tests for the Measures" title="Unit Tests for the Measu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619750" cy="2838450"/>
                    </a:xfrm>
                    <a:prstGeom prst="rect">
                      <a:avLst/>
                    </a:prstGeom>
                  </pic:spPr>
                </pic:pic>
              </a:graphicData>
            </a:graphic>
          </wp:inline>
        </w:drawing>
      </w:r>
    </w:p>
    <w:p>
      <w:pPr>
        <w:pStyle w:val="Heading1"/>
      </w:pPr>
      <w:r>
        <w:t xml:space="preserve">Results</w:t>
      </w:r>
    </w:p>
    <w:p>
      <w:pPr>
        <w:pStyle w:val="Heading2"/>
      </w:pPr>
      <w:r>
        <w:t xml:space="preserve">Overall Effectiveness (E1)</w:t>
      </w:r>
    </w:p>
    <w:p>
      <w:pPr>
        <w:spacing w:after="0" w:before="0" w:line="480"/>
        <w:ind w:firstLine="720"/>
      </w:pPr>
      <w:r>
        <w:t xml:space="preserve">Table 4 and Figure 9 give the main measures for every run; Figure 10 is the program’s own output with all eleven measures.</w:t>
      </w:r>
    </w:p>
    <w:p>
      <w:pPr>
        <w:keepNext/>
        <w:spacing w:before="240" w:line="480"/>
      </w:pPr>
      <w:r>
        <w:rPr>
          <w:b/>
          <w:bCs/>
        </w:rPr>
        <w:t xml:space="preserve">Table 4</w:t>
      </w:r>
    </w:p>
    <w:p>
      <w:pPr>
        <w:keepNext/>
        <w:spacing w:line="480"/>
      </w:pPr>
      <w:r>
        <w:rPr>
          <w:i/>
          <w:iCs/>
        </w:rPr>
        <w:t xml:space="preserve">Effectiveness of Each Run</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3217"/>
        <w:gridCol w:w="804"/>
        <w:gridCol w:w="804"/>
        <w:gridCol w:w="849"/>
        <w:gridCol w:w="804"/>
        <w:gridCol w:w="804"/>
        <w:gridCol w:w="804"/>
        <w:gridCol w:w="940"/>
      </w:tblGrid>
      <w:tr>
        <w:trPr>
          <w:tblHeader/>
        </w:trPr>
        <w:tc>
          <w:tcPr>
            <w:tcW w:type="dxa" w:w="3217"/>
            <w:tcBorders>
              <w:top w:val="single" w:color="000000" w:sz="8"/>
              <w:left w:val="none" w:color="FFFFFF" w:sz="0"/>
              <w:bottom w:val="single" w:color="000000" w:sz="8"/>
              <w:right w:val="none" w:color="FFFFFF" w:sz="0"/>
            </w:tcBorders>
            <w:tcMar>
              <w:top w:type="dxa" w:w="40"/>
              <w:left w:type="dxa" w:w="80"/>
              <w:bottom w:type="dxa" w:w="40"/>
              <w:right w:type="dxa" w:w="80"/>
            </w:tcMar>
          </w:tcPr>
          <w:p>
            <w:pPr>
              <w:keepNext/>
              <w:jc w:val="left"/>
            </w:pPr>
            <w:r>
              <w:rPr>
                <w:b w:val="false"/>
                <w:bCs w:val="false"/>
              </w:rPr>
              <w:t xml:space="preserve">Run</w:t>
            </w:r>
          </w:p>
        </w:tc>
        <w:tc>
          <w:tcPr>
            <w:tcW w:type="dxa" w:w="804"/>
            <w:tcBorders>
              <w:top w:val="single" w:color="000000" w:sz="8"/>
              <w:left w:val="none" w:color="FFFFFF" w:sz="0"/>
              <w:bottom w:val="single" w:color="000000" w:sz="8"/>
              <w:right w:val="none" w:color="FFFFFF" w:sz="0"/>
            </w:tcBorders>
            <w:tcMar>
              <w:top w:type="dxa" w:w="40"/>
              <w:left w:type="dxa" w:w="80"/>
              <w:bottom w:type="dxa" w:w="40"/>
              <w:right w:type="dxa" w:w="80"/>
            </w:tcMar>
          </w:tcPr>
          <w:p>
            <w:pPr>
              <w:keepNext/>
              <w:jc w:val="center"/>
            </w:pPr>
            <w:r>
              <w:rPr>
                <w:b w:val="false"/>
                <w:bCs w:val="false"/>
              </w:rPr>
              <w:t xml:space="preserve">P@10</w:t>
            </w:r>
          </w:p>
        </w:tc>
        <w:tc>
          <w:tcPr>
            <w:tcW w:type="dxa" w:w="804"/>
            <w:tcBorders>
              <w:top w:val="single" w:color="000000" w:sz="8"/>
              <w:left w:val="none" w:color="FFFFFF" w:sz="0"/>
              <w:bottom w:val="single" w:color="000000" w:sz="8"/>
              <w:right w:val="none" w:color="FFFFFF" w:sz="0"/>
            </w:tcBorders>
            <w:tcMar>
              <w:top w:type="dxa" w:w="40"/>
              <w:left w:type="dxa" w:w="80"/>
              <w:bottom w:type="dxa" w:w="40"/>
              <w:right w:type="dxa" w:w="80"/>
            </w:tcMar>
          </w:tcPr>
          <w:p>
            <w:pPr>
              <w:keepNext/>
              <w:jc w:val="center"/>
            </w:pPr>
            <w:r>
              <w:rPr>
                <w:b w:val="false"/>
                <w:bCs w:val="false"/>
              </w:rPr>
              <w:t xml:space="preserve">R@10</w:t>
            </w:r>
          </w:p>
        </w:tc>
        <w:tc>
          <w:tcPr>
            <w:tcW w:type="dxa" w:w="849"/>
            <w:tcBorders>
              <w:top w:val="single" w:color="000000" w:sz="8"/>
              <w:left w:val="none" w:color="FFFFFF" w:sz="0"/>
              <w:bottom w:val="single" w:color="000000" w:sz="8"/>
              <w:right w:val="none" w:color="FFFFFF" w:sz="0"/>
            </w:tcBorders>
            <w:tcMar>
              <w:top w:type="dxa" w:w="40"/>
              <w:left w:type="dxa" w:w="80"/>
              <w:bottom w:type="dxa" w:w="40"/>
              <w:right w:type="dxa" w:w="80"/>
            </w:tcMar>
          </w:tcPr>
          <w:p>
            <w:pPr>
              <w:keepNext/>
              <w:jc w:val="center"/>
            </w:pPr>
            <w:r>
              <w:rPr>
                <w:b w:val="false"/>
                <w:bCs w:val="false"/>
              </w:rPr>
              <w:t xml:space="preserve">R-Prec</w:t>
            </w:r>
          </w:p>
        </w:tc>
        <w:tc>
          <w:tcPr>
            <w:tcW w:type="dxa" w:w="804"/>
            <w:tcBorders>
              <w:top w:val="single" w:color="000000" w:sz="8"/>
              <w:left w:val="none" w:color="FFFFFF" w:sz="0"/>
              <w:bottom w:val="single" w:color="000000" w:sz="8"/>
              <w:right w:val="none" w:color="FFFFFF" w:sz="0"/>
            </w:tcBorders>
            <w:tcMar>
              <w:top w:type="dxa" w:w="40"/>
              <w:left w:type="dxa" w:w="80"/>
              <w:bottom w:type="dxa" w:w="40"/>
              <w:right w:type="dxa" w:w="80"/>
            </w:tcMar>
          </w:tcPr>
          <w:p>
            <w:pPr>
              <w:keepNext/>
              <w:jc w:val="center"/>
            </w:pPr>
            <w:r>
              <w:rPr>
                <w:b w:val="false"/>
                <w:bCs w:val="false"/>
              </w:rPr>
              <w:t xml:space="preserve">MAP</w:t>
            </w:r>
          </w:p>
        </w:tc>
        <w:tc>
          <w:tcPr>
            <w:tcW w:type="dxa" w:w="804"/>
            <w:tcBorders>
              <w:top w:val="single" w:color="000000" w:sz="8"/>
              <w:left w:val="none" w:color="FFFFFF" w:sz="0"/>
              <w:bottom w:val="single" w:color="000000" w:sz="8"/>
              <w:right w:val="none" w:color="FFFFFF" w:sz="0"/>
            </w:tcBorders>
            <w:tcMar>
              <w:top w:type="dxa" w:w="40"/>
              <w:left w:type="dxa" w:w="80"/>
              <w:bottom w:type="dxa" w:w="40"/>
              <w:right w:type="dxa" w:w="80"/>
            </w:tcMar>
          </w:tcPr>
          <w:p>
            <w:pPr>
              <w:keepNext/>
              <w:jc w:val="center"/>
            </w:pPr>
            <w:r>
              <w:rPr>
                <w:b w:val="false"/>
                <w:bCs w:val="false"/>
              </w:rPr>
              <w:t xml:space="preserve">MRR</w:t>
            </w:r>
          </w:p>
        </w:tc>
        <w:tc>
          <w:tcPr>
            <w:tcW w:type="dxa" w:w="804"/>
            <w:tcBorders>
              <w:top w:val="single" w:color="000000" w:sz="8"/>
              <w:left w:val="none" w:color="FFFFFF" w:sz="0"/>
              <w:bottom w:val="single" w:color="000000" w:sz="8"/>
              <w:right w:val="none" w:color="FFFFFF" w:sz="0"/>
            </w:tcBorders>
            <w:tcMar>
              <w:top w:type="dxa" w:w="40"/>
              <w:left w:type="dxa" w:w="80"/>
              <w:bottom w:type="dxa" w:w="40"/>
              <w:right w:type="dxa" w:w="80"/>
            </w:tcMar>
          </w:tcPr>
          <w:p>
            <w:pPr>
              <w:keepNext/>
              <w:jc w:val="center"/>
            </w:pPr>
            <w:r>
              <w:rPr>
                <w:b w:val="false"/>
                <w:bCs w:val="false"/>
              </w:rPr>
              <w:t xml:space="preserve">S@1</w:t>
            </w:r>
          </w:p>
        </w:tc>
        <w:tc>
          <w:tcPr>
            <w:tcW w:type="dxa" w:w="940"/>
            <w:tcBorders>
              <w:top w:val="single" w:color="000000" w:sz="8"/>
              <w:left w:val="none" w:color="FFFFFF" w:sz="0"/>
              <w:bottom w:val="single" w:color="000000" w:sz="8"/>
              <w:right w:val="none" w:color="FFFFFF" w:sz="0"/>
            </w:tcBorders>
            <w:tcMar>
              <w:top w:type="dxa" w:w="40"/>
              <w:left w:type="dxa" w:w="80"/>
              <w:bottom w:type="dxa" w:w="40"/>
              <w:right w:type="dxa" w:w="80"/>
            </w:tcMar>
          </w:tcPr>
          <w:p>
            <w:pPr>
              <w:keepNext/>
              <w:jc w:val="center"/>
            </w:pPr>
            <w:r>
              <w:rPr>
                <w:b w:val="false"/>
                <w:bCs w:val="false"/>
              </w:rPr>
              <w:t xml:space="preserve">nDCG@10</w:t>
            </w:r>
          </w:p>
        </w:tc>
      </w:tr>
      <w:tr>
        <w:trPr>
          <w:cantSplit/>
        </w:trPr>
        <w:tc>
          <w:tcPr>
            <w:tcW w:type="dxa" w:w="3217"/>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left"/>
            </w:pPr>
            <w:r>
              <w:rPr>
                <w:b w:val="false"/>
                <w:bCs w:val="false"/>
              </w:rPr>
              <w:t xml:space="preserve">Boolean (AND)</w:t>
            </w:r>
          </w:p>
        </w:tc>
        <w:tc>
          <w:tcPr>
            <w:tcW w:type="dxa" w:w="804"/>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center"/>
            </w:pPr>
            <w:r>
              <w:rPr>
                <w:b w:val="false"/>
                <w:bCs w:val="false"/>
              </w:rPr>
              <w:t xml:space="preserve">0.341</w:t>
            </w:r>
          </w:p>
        </w:tc>
        <w:tc>
          <w:tcPr>
            <w:tcW w:type="dxa" w:w="804"/>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center"/>
            </w:pPr>
            <w:r>
              <w:rPr>
                <w:b w:val="false"/>
                <w:bCs w:val="false"/>
              </w:rPr>
              <w:t xml:space="preserve">0.742</w:t>
            </w:r>
          </w:p>
        </w:tc>
        <w:tc>
          <w:tcPr>
            <w:tcW w:type="dxa" w:w="849"/>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center"/>
            </w:pPr>
            <w:r>
              <w:rPr>
                <w:b w:val="false"/>
                <w:bCs w:val="false"/>
              </w:rPr>
              <w:t xml:space="preserve">0.495</w:t>
            </w:r>
          </w:p>
        </w:tc>
        <w:tc>
          <w:tcPr>
            <w:tcW w:type="dxa" w:w="804"/>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center"/>
            </w:pPr>
            <w:r>
              <w:rPr>
                <w:b w:val="false"/>
                <w:bCs w:val="false"/>
              </w:rPr>
              <w:t xml:space="preserve">0.622</w:t>
            </w:r>
          </w:p>
        </w:tc>
        <w:tc>
          <w:tcPr>
            <w:tcW w:type="dxa" w:w="804"/>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center"/>
            </w:pPr>
            <w:r>
              <w:rPr>
                <w:b w:val="false"/>
                <w:bCs w:val="false"/>
              </w:rPr>
              <w:t xml:space="preserve">0.616</w:t>
            </w:r>
          </w:p>
        </w:tc>
        <w:tc>
          <w:tcPr>
            <w:tcW w:type="dxa" w:w="804"/>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center"/>
            </w:pPr>
            <w:r>
              <w:rPr>
                <w:b w:val="false"/>
                <w:bCs w:val="false"/>
              </w:rPr>
              <w:t xml:space="preserve">0.479</w:t>
            </w:r>
          </w:p>
        </w:tc>
        <w:tc>
          <w:tcPr>
            <w:tcW w:type="dxa" w:w="940"/>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center"/>
            </w:pPr>
            <w:r>
              <w:rPr>
                <w:b w:val="false"/>
                <w:bCs w:val="false"/>
              </w:rPr>
              <w:t xml:space="preserve">0.657</w:t>
            </w:r>
          </w:p>
        </w:tc>
      </w:tr>
      <w:tr>
        <w:trPr>
          <w:cantSplit/>
        </w:trPr>
        <w:tc>
          <w:tcPr>
            <w:tcW w:type="dxa" w:w="3217"/>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left"/>
            </w:pPr>
            <w:r>
              <w:rPr>
                <w:b w:val="false"/>
                <w:bCs w:val="false"/>
              </w:rPr>
              <w:t xml:space="preserve">TF-IDF</w:t>
            </w:r>
          </w:p>
        </w:tc>
        <w:tc>
          <w:tcPr>
            <w:tcW w:type="dxa" w:w="804"/>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center"/>
            </w:pPr>
            <w:r>
              <w:rPr>
                <w:b w:val="false"/>
                <w:bCs w:val="false"/>
              </w:rPr>
              <w:t xml:space="preserve">0.293</w:t>
            </w:r>
          </w:p>
        </w:tc>
        <w:tc>
          <w:tcPr>
            <w:tcW w:type="dxa" w:w="804"/>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center"/>
            </w:pPr>
            <w:r>
              <w:rPr>
                <w:b w:val="false"/>
                <w:bCs w:val="false"/>
              </w:rPr>
              <w:t xml:space="preserve">0.723</w:t>
            </w:r>
          </w:p>
        </w:tc>
        <w:tc>
          <w:tcPr>
            <w:tcW w:type="dxa" w:w="849"/>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center"/>
            </w:pPr>
            <w:r>
              <w:rPr>
                <w:b w:val="false"/>
                <w:bCs w:val="false"/>
              </w:rPr>
              <w:t xml:space="preserve">0.610</w:t>
            </w:r>
          </w:p>
        </w:tc>
        <w:tc>
          <w:tcPr>
            <w:tcW w:type="dxa" w:w="804"/>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center"/>
            </w:pPr>
            <w:r>
              <w:rPr>
                <w:b w:val="false"/>
                <w:bCs w:val="false"/>
              </w:rPr>
              <w:t xml:space="preserve">0.652</w:t>
            </w:r>
          </w:p>
        </w:tc>
        <w:tc>
          <w:tcPr>
            <w:tcW w:type="dxa" w:w="804"/>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center"/>
            </w:pPr>
            <w:r>
              <w:rPr>
                <w:b w:val="false"/>
                <w:bCs w:val="false"/>
              </w:rPr>
              <w:t xml:space="preserve">0.638</w:t>
            </w:r>
          </w:p>
        </w:tc>
        <w:tc>
          <w:tcPr>
            <w:tcW w:type="dxa" w:w="804"/>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center"/>
            </w:pPr>
            <w:r>
              <w:rPr>
                <w:b w:val="false"/>
                <w:bCs w:val="false"/>
              </w:rPr>
              <w:t xml:space="preserve">0.547</w:t>
            </w:r>
          </w:p>
        </w:tc>
        <w:tc>
          <w:tcPr>
            <w:tcW w:type="dxa" w:w="940"/>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center"/>
            </w:pPr>
            <w:r>
              <w:rPr>
                <w:b w:val="false"/>
                <w:bCs w:val="false"/>
              </w:rPr>
              <w:t xml:space="preserve">0.682</w:t>
            </w:r>
          </w:p>
        </w:tc>
      </w:tr>
      <w:tr>
        <w:trPr>
          <w:cantSplit/>
        </w:trPr>
        <w:tc>
          <w:tcPr>
            <w:tcW w:type="dxa" w:w="3217"/>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left"/>
            </w:pPr>
            <w:r>
              <w:rPr>
                <w:b w:val="false"/>
                <w:bCs w:val="false"/>
              </w:rPr>
              <w:t xml:space="preserve">BM25F</w:t>
            </w:r>
          </w:p>
        </w:tc>
        <w:tc>
          <w:tcPr>
            <w:tcW w:type="dxa" w:w="804"/>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center"/>
            </w:pPr>
            <w:r>
              <w:rPr>
                <w:b w:val="false"/>
                <w:bCs w:val="false"/>
              </w:rPr>
              <w:t xml:space="preserve">0.296</w:t>
            </w:r>
          </w:p>
        </w:tc>
        <w:tc>
          <w:tcPr>
            <w:tcW w:type="dxa" w:w="804"/>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center"/>
            </w:pPr>
            <w:r>
              <w:rPr>
                <w:b w:val="false"/>
                <w:bCs w:val="false"/>
              </w:rPr>
              <w:t xml:space="preserve">0.729</w:t>
            </w:r>
          </w:p>
        </w:tc>
        <w:tc>
          <w:tcPr>
            <w:tcW w:type="dxa" w:w="849"/>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center"/>
            </w:pPr>
            <w:r>
              <w:rPr>
                <w:b w:val="false"/>
                <w:bCs w:val="false"/>
              </w:rPr>
              <w:t xml:space="preserve">0.629</w:t>
            </w:r>
          </w:p>
        </w:tc>
        <w:tc>
          <w:tcPr>
            <w:tcW w:type="dxa" w:w="804"/>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center"/>
            </w:pPr>
            <w:r>
              <w:rPr>
                <w:b w:val="false"/>
                <w:bCs w:val="false"/>
              </w:rPr>
              <w:t xml:space="preserve">0.643</w:t>
            </w:r>
          </w:p>
        </w:tc>
        <w:tc>
          <w:tcPr>
            <w:tcW w:type="dxa" w:w="804"/>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center"/>
            </w:pPr>
            <w:r>
              <w:rPr>
                <w:b w:val="false"/>
                <w:bCs w:val="false"/>
              </w:rPr>
              <w:t xml:space="preserve">0.583</w:t>
            </w:r>
          </w:p>
        </w:tc>
        <w:tc>
          <w:tcPr>
            <w:tcW w:type="dxa" w:w="804"/>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center"/>
            </w:pPr>
            <w:r>
              <w:rPr>
                <w:b w:val="false"/>
                <w:bCs w:val="false"/>
              </w:rPr>
              <w:t xml:space="preserve">0.419</w:t>
            </w:r>
          </w:p>
        </w:tc>
        <w:tc>
          <w:tcPr>
            <w:tcW w:type="dxa" w:w="940"/>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center"/>
            </w:pPr>
            <w:r>
              <w:rPr>
                <w:b w:val="false"/>
                <w:bCs w:val="false"/>
              </w:rPr>
              <w:t xml:space="preserve">0.691</w:t>
            </w:r>
          </w:p>
        </w:tc>
      </w:tr>
      <w:tr>
        <w:trPr>
          <w:cantSplit/>
        </w:trPr>
        <w:tc>
          <w:tcPr>
            <w:tcW w:type="dxa" w:w="3217"/>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left"/>
            </w:pPr>
            <w:r>
              <w:rPr>
                <w:b w:val="false"/>
                <w:bCs w:val="false"/>
              </w:rPr>
              <w:t xml:space="preserve">TF-IDF + expansion</w:t>
            </w:r>
          </w:p>
        </w:tc>
        <w:tc>
          <w:tcPr>
            <w:tcW w:type="dxa" w:w="804"/>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center"/>
            </w:pPr>
            <w:r>
              <w:rPr>
                <w:b w:val="false"/>
                <w:bCs w:val="false"/>
              </w:rPr>
              <w:t xml:space="preserve">0.299</w:t>
            </w:r>
          </w:p>
        </w:tc>
        <w:tc>
          <w:tcPr>
            <w:tcW w:type="dxa" w:w="804"/>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center"/>
            </w:pPr>
            <w:r>
              <w:rPr>
                <w:b w:val="false"/>
                <w:bCs w:val="false"/>
              </w:rPr>
              <w:t xml:space="preserve">0.861</w:t>
            </w:r>
          </w:p>
        </w:tc>
        <w:tc>
          <w:tcPr>
            <w:tcW w:type="dxa" w:w="849"/>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center"/>
            </w:pPr>
            <w:r>
              <w:rPr>
                <w:b w:val="false"/>
                <w:bCs w:val="false"/>
              </w:rPr>
              <w:t xml:space="preserve">0.765</w:t>
            </w:r>
          </w:p>
        </w:tc>
        <w:tc>
          <w:tcPr>
            <w:tcW w:type="dxa" w:w="804"/>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center"/>
            </w:pPr>
            <w:r>
              <w:rPr>
                <w:b w:val="false"/>
                <w:bCs w:val="false"/>
              </w:rPr>
              <w:t xml:space="preserve">0.789</w:t>
            </w:r>
          </w:p>
        </w:tc>
        <w:tc>
          <w:tcPr>
            <w:tcW w:type="dxa" w:w="804"/>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center"/>
            </w:pPr>
            <w:r>
              <w:rPr>
                <w:b w:val="false"/>
                <w:bCs w:val="false"/>
              </w:rPr>
              <w:t xml:space="preserve">0.763</w:t>
            </w:r>
          </w:p>
        </w:tc>
        <w:tc>
          <w:tcPr>
            <w:tcW w:type="dxa" w:w="804"/>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center"/>
            </w:pPr>
            <w:r>
              <w:rPr>
                <w:b w:val="false"/>
                <w:bCs w:val="false"/>
              </w:rPr>
              <w:t xml:space="preserve">0.659</w:t>
            </w:r>
          </w:p>
        </w:tc>
        <w:tc>
          <w:tcPr>
            <w:tcW w:type="dxa" w:w="940"/>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center"/>
            </w:pPr>
            <w:r>
              <w:rPr>
                <w:b w:val="false"/>
                <w:bCs w:val="false"/>
              </w:rPr>
              <w:t xml:space="preserve">0.813</w:t>
            </w:r>
          </w:p>
        </w:tc>
      </w:tr>
      <w:tr>
        <w:trPr>
          <w:cantSplit/>
        </w:trPr>
        <w:tc>
          <w:tcPr>
            <w:tcW w:type="dxa" w:w="3217"/>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left"/>
            </w:pPr>
            <w:r>
              <w:rPr>
                <w:b w:val="false"/>
                <w:bCs w:val="false"/>
              </w:rPr>
              <w:t xml:space="preserve">BM25F + expansion</w:t>
            </w:r>
          </w:p>
        </w:tc>
        <w:tc>
          <w:tcPr>
            <w:tcW w:type="dxa" w:w="804"/>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center"/>
            </w:pPr>
            <w:r>
              <w:rPr>
                <w:b w:val="false"/>
                <w:bCs w:val="false"/>
              </w:rPr>
              <w:t xml:space="preserve">0.313</w:t>
            </w:r>
          </w:p>
        </w:tc>
        <w:tc>
          <w:tcPr>
            <w:tcW w:type="dxa" w:w="804"/>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center"/>
            </w:pPr>
            <w:r>
              <w:rPr>
                <w:b w:val="false"/>
                <w:bCs w:val="false"/>
              </w:rPr>
              <w:t xml:space="preserve">0.876</w:t>
            </w:r>
          </w:p>
        </w:tc>
        <w:tc>
          <w:tcPr>
            <w:tcW w:type="dxa" w:w="849"/>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center"/>
            </w:pPr>
            <w:r>
              <w:rPr>
                <w:b w:val="false"/>
                <w:bCs w:val="false"/>
              </w:rPr>
              <w:t xml:space="preserve">0.801</w:t>
            </w:r>
          </w:p>
        </w:tc>
        <w:tc>
          <w:tcPr>
            <w:tcW w:type="dxa" w:w="804"/>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center"/>
            </w:pPr>
            <w:r>
              <w:rPr>
                <w:b w:val="false"/>
                <w:bCs w:val="false"/>
              </w:rPr>
              <w:t xml:space="preserve">0.803</w:t>
            </w:r>
          </w:p>
        </w:tc>
        <w:tc>
          <w:tcPr>
            <w:tcW w:type="dxa" w:w="804"/>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center"/>
            </w:pPr>
            <w:r>
              <w:rPr>
                <w:b w:val="false"/>
                <w:bCs w:val="false"/>
              </w:rPr>
              <w:t xml:space="preserve">0.738</w:t>
            </w:r>
          </w:p>
        </w:tc>
        <w:tc>
          <w:tcPr>
            <w:tcW w:type="dxa" w:w="804"/>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center"/>
            </w:pPr>
            <w:r>
              <w:rPr>
                <w:b w:val="false"/>
                <w:bCs w:val="false"/>
              </w:rPr>
              <w:t xml:space="preserve">0.577</w:t>
            </w:r>
          </w:p>
        </w:tc>
        <w:tc>
          <w:tcPr>
            <w:tcW w:type="dxa" w:w="940"/>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center"/>
            </w:pPr>
            <w:r>
              <w:rPr>
                <w:b w:val="false"/>
                <w:bCs w:val="false"/>
              </w:rPr>
              <w:t xml:space="preserve">0.837</w:t>
            </w:r>
          </w:p>
        </w:tc>
      </w:tr>
      <w:tr>
        <w:trPr>
          <w:cantSplit/>
        </w:trPr>
        <w:tc>
          <w:tcPr>
            <w:tcW w:type="dxa" w:w="3217"/>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left"/>
            </w:pPr>
            <w:r>
              <w:rPr>
                <w:b w:val="false"/>
                <w:bCs w:val="false"/>
              </w:rPr>
              <w:t xml:space="preserve">Hybrid RRF + expansion</w:t>
            </w:r>
          </w:p>
        </w:tc>
        <w:tc>
          <w:tcPr>
            <w:tcW w:type="dxa" w:w="804"/>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center"/>
            </w:pPr>
            <w:r>
              <w:rPr>
                <w:b w:val="false"/>
                <w:bCs w:val="false"/>
              </w:rPr>
              <w:t xml:space="preserve">0.296</w:t>
            </w:r>
          </w:p>
        </w:tc>
        <w:tc>
          <w:tcPr>
            <w:tcW w:type="dxa" w:w="804"/>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center"/>
            </w:pPr>
            <w:r>
              <w:rPr>
                <w:b w:val="false"/>
                <w:bCs w:val="false"/>
              </w:rPr>
              <w:t xml:space="preserve">0.858</w:t>
            </w:r>
          </w:p>
        </w:tc>
        <w:tc>
          <w:tcPr>
            <w:tcW w:type="dxa" w:w="849"/>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center"/>
            </w:pPr>
            <w:r>
              <w:rPr>
                <w:b w:val="false"/>
                <w:bCs w:val="false"/>
              </w:rPr>
              <w:t xml:space="preserve">0.777</w:t>
            </w:r>
          </w:p>
        </w:tc>
        <w:tc>
          <w:tcPr>
            <w:tcW w:type="dxa" w:w="804"/>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center"/>
            </w:pPr>
            <w:r>
              <w:rPr>
                <w:b w:val="false"/>
                <w:bCs w:val="false"/>
              </w:rPr>
              <w:t xml:space="preserve">0.811</w:t>
            </w:r>
          </w:p>
        </w:tc>
        <w:tc>
          <w:tcPr>
            <w:tcW w:type="dxa" w:w="804"/>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center"/>
            </w:pPr>
            <w:r>
              <w:rPr>
                <w:b w:val="false"/>
                <w:bCs w:val="false"/>
              </w:rPr>
              <w:t xml:space="preserve">0.816</w:t>
            </w:r>
          </w:p>
        </w:tc>
        <w:tc>
          <w:tcPr>
            <w:tcW w:type="dxa" w:w="804"/>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center"/>
            </w:pPr>
            <w:r>
              <w:rPr>
                <w:b/>
                <w:bCs/>
              </w:rPr>
              <w:t xml:space="preserve">0.738</w:t>
            </w:r>
          </w:p>
        </w:tc>
        <w:tc>
          <w:tcPr>
            <w:tcW w:type="dxa" w:w="940"/>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center"/>
            </w:pPr>
            <w:r>
              <w:rPr>
                <w:b w:val="false"/>
                <w:bCs w:val="false"/>
              </w:rPr>
              <w:t xml:space="preserve">0.835</w:t>
            </w:r>
          </w:p>
        </w:tc>
      </w:tr>
      <w:tr>
        <w:trPr>
          <w:cantSplit/>
        </w:trPr>
        <w:tc>
          <w:tcPr>
            <w:tcW w:type="dxa" w:w="3217"/>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left"/>
            </w:pPr>
            <w:r>
              <w:rPr>
                <w:b w:val="false"/>
                <w:bCs w:val="false"/>
              </w:rPr>
              <w:t xml:space="preserve">BM25F + expansion, no segmentation</w:t>
            </w:r>
          </w:p>
        </w:tc>
        <w:tc>
          <w:tcPr>
            <w:tcW w:type="dxa" w:w="804"/>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center"/>
            </w:pPr>
            <w:r>
              <w:rPr>
                <w:b w:val="false"/>
                <w:bCs w:val="false"/>
              </w:rPr>
              <w:t xml:space="preserve">0.319</w:t>
            </w:r>
          </w:p>
        </w:tc>
        <w:tc>
          <w:tcPr>
            <w:tcW w:type="dxa" w:w="804"/>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center"/>
            </w:pPr>
            <w:r>
              <w:rPr>
                <w:b w:val="false"/>
                <w:bCs w:val="false"/>
              </w:rPr>
              <w:t xml:space="preserve">0.688</w:t>
            </w:r>
          </w:p>
        </w:tc>
        <w:tc>
          <w:tcPr>
            <w:tcW w:type="dxa" w:w="849"/>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center"/>
            </w:pPr>
            <w:r>
              <w:rPr>
                <w:b w:val="false"/>
                <w:bCs w:val="false"/>
              </w:rPr>
              <w:t xml:space="preserve">0.683</w:t>
            </w:r>
          </w:p>
        </w:tc>
        <w:tc>
          <w:tcPr>
            <w:tcW w:type="dxa" w:w="804"/>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center"/>
            </w:pPr>
            <w:r>
              <w:rPr>
                <w:b w:val="false"/>
                <w:bCs w:val="false"/>
              </w:rPr>
              <w:t xml:space="preserve">0.653</w:t>
            </w:r>
          </w:p>
        </w:tc>
        <w:tc>
          <w:tcPr>
            <w:tcW w:type="dxa" w:w="804"/>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center"/>
            </w:pPr>
            <w:r>
              <w:rPr>
                <w:b w:val="false"/>
                <w:bCs w:val="false"/>
              </w:rPr>
              <w:t xml:space="preserve">0.564</w:t>
            </w:r>
          </w:p>
        </w:tc>
        <w:tc>
          <w:tcPr>
            <w:tcW w:type="dxa" w:w="804"/>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center"/>
            </w:pPr>
            <w:r>
              <w:rPr>
                <w:b w:val="false"/>
                <w:bCs w:val="false"/>
              </w:rPr>
              <w:t xml:space="preserve">0.406</w:t>
            </w:r>
          </w:p>
        </w:tc>
        <w:tc>
          <w:tcPr>
            <w:tcW w:type="dxa" w:w="940"/>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center"/>
            </w:pPr>
            <w:r>
              <w:rPr>
                <w:b w:val="false"/>
                <w:bCs w:val="false"/>
              </w:rPr>
              <w:t xml:space="preserve">0.664</w:t>
            </w:r>
          </w:p>
        </w:tc>
      </w:tr>
      <w:tr>
        <w:trPr>
          <w:cantSplit/>
        </w:trPr>
        <w:tc>
          <w:tcPr>
            <w:tcW w:type="dxa" w:w="3217"/>
            <w:tcBorders>
              <w:top w:val="none" w:color="FFFFFF" w:sz="0"/>
              <w:left w:val="none" w:color="FFFFFF" w:sz="0"/>
              <w:bottom w:val="single" w:color="000000" w:sz="8"/>
              <w:right w:val="none" w:color="FFFFFF" w:sz="0"/>
            </w:tcBorders>
            <w:tcMar>
              <w:top w:type="dxa" w:w="40"/>
              <w:left w:type="dxa" w:w="80"/>
              <w:bottom w:type="dxa" w:w="40"/>
              <w:right w:type="dxa" w:w="80"/>
            </w:tcMar>
          </w:tcPr>
          <w:p>
            <w:pPr>
              <w:keepNext/>
              <w:jc w:val="left"/>
            </w:pPr>
            <w:r>
              <w:rPr>
                <w:b w:val="false"/>
                <w:bCs w:val="false"/>
              </w:rPr>
              <w:t xml:space="preserve">BM25F + expansion, tuned</w:t>
            </w:r>
          </w:p>
        </w:tc>
        <w:tc>
          <w:tcPr>
            <w:tcW w:type="dxa" w:w="804"/>
            <w:tcBorders>
              <w:top w:val="none" w:color="FFFFFF" w:sz="0"/>
              <w:left w:val="none" w:color="FFFFFF" w:sz="0"/>
              <w:bottom w:val="single" w:color="000000" w:sz="8"/>
              <w:right w:val="none" w:color="FFFFFF" w:sz="0"/>
            </w:tcBorders>
            <w:tcMar>
              <w:top w:type="dxa" w:w="40"/>
              <w:left w:type="dxa" w:w="80"/>
              <w:bottom w:type="dxa" w:w="40"/>
              <w:right w:type="dxa" w:w="80"/>
            </w:tcMar>
          </w:tcPr>
          <w:p>
            <w:pPr>
              <w:keepNext/>
              <w:jc w:val="center"/>
            </w:pPr>
            <w:r>
              <w:rPr>
                <w:b/>
                <w:bCs/>
              </w:rPr>
              <w:t xml:space="preserve">0.349</w:t>
            </w:r>
          </w:p>
        </w:tc>
        <w:tc>
          <w:tcPr>
            <w:tcW w:type="dxa" w:w="804"/>
            <w:tcBorders>
              <w:top w:val="none" w:color="FFFFFF" w:sz="0"/>
              <w:left w:val="none" w:color="FFFFFF" w:sz="0"/>
              <w:bottom w:val="single" w:color="000000" w:sz="8"/>
              <w:right w:val="none" w:color="FFFFFF" w:sz="0"/>
            </w:tcBorders>
            <w:tcMar>
              <w:top w:type="dxa" w:w="40"/>
              <w:left w:type="dxa" w:w="80"/>
              <w:bottom w:type="dxa" w:w="40"/>
              <w:right w:type="dxa" w:w="80"/>
            </w:tcMar>
          </w:tcPr>
          <w:p>
            <w:pPr>
              <w:keepNext/>
              <w:jc w:val="center"/>
            </w:pPr>
            <w:r>
              <w:rPr>
                <w:b/>
                <w:bCs/>
              </w:rPr>
              <w:t xml:space="preserve">0.904</w:t>
            </w:r>
          </w:p>
        </w:tc>
        <w:tc>
          <w:tcPr>
            <w:tcW w:type="dxa" w:w="849"/>
            <w:tcBorders>
              <w:top w:val="none" w:color="FFFFFF" w:sz="0"/>
              <w:left w:val="none" w:color="FFFFFF" w:sz="0"/>
              <w:bottom w:val="single" w:color="000000" w:sz="8"/>
              <w:right w:val="none" w:color="FFFFFF" w:sz="0"/>
            </w:tcBorders>
            <w:tcMar>
              <w:top w:type="dxa" w:w="40"/>
              <w:left w:type="dxa" w:w="80"/>
              <w:bottom w:type="dxa" w:w="40"/>
              <w:right w:type="dxa" w:w="80"/>
            </w:tcMar>
          </w:tcPr>
          <w:p>
            <w:pPr>
              <w:keepNext/>
              <w:jc w:val="center"/>
            </w:pPr>
            <w:r>
              <w:rPr>
                <w:b/>
                <w:bCs/>
              </w:rPr>
              <w:t xml:space="preserve">0.860</w:t>
            </w:r>
          </w:p>
        </w:tc>
        <w:tc>
          <w:tcPr>
            <w:tcW w:type="dxa" w:w="804"/>
            <w:tcBorders>
              <w:top w:val="none" w:color="FFFFFF" w:sz="0"/>
              <w:left w:val="none" w:color="FFFFFF" w:sz="0"/>
              <w:bottom w:val="single" w:color="000000" w:sz="8"/>
              <w:right w:val="none" w:color="FFFFFF" w:sz="0"/>
            </w:tcBorders>
            <w:tcMar>
              <w:top w:type="dxa" w:w="40"/>
              <w:left w:type="dxa" w:w="80"/>
              <w:bottom w:type="dxa" w:w="40"/>
              <w:right w:type="dxa" w:w="80"/>
            </w:tcMar>
          </w:tcPr>
          <w:p>
            <w:pPr>
              <w:keepNext/>
              <w:jc w:val="center"/>
            </w:pPr>
            <w:r>
              <w:rPr>
                <w:b/>
                <w:bCs/>
              </w:rPr>
              <w:t xml:space="preserve">0.865</w:t>
            </w:r>
          </w:p>
        </w:tc>
        <w:tc>
          <w:tcPr>
            <w:tcW w:type="dxa" w:w="804"/>
            <w:tcBorders>
              <w:top w:val="none" w:color="FFFFFF" w:sz="0"/>
              <w:left w:val="none" w:color="FFFFFF" w:sz="0"/>
              <w:bottom w:val="single" w:color="000000" w:sz="8"/>
              <w:right w:val="none" w:color="FFFFFF" w:sz="0"/>
            </w:tcBorders>
            <w:tcMar>
              <w:top w:type="dxa" w:w="40"/>
              <w:left w:type="dxa" w:w="80"/>
              <w:bottom w:type="dxa" w:w="40"/>
              <w:right w:type="dxa" w:w="80"/>
            </w:tcMar>
          </w:tcPr>
          <w:p>
            <w:pPr>
              <w:keepNext/>
              <w:jc w:val="center"/>
            </w:pPr>
            <w:r>
              <w:rPr>
                <w:b/>
                <w:bCs/>
              </w:rPr>
              <w:t xml:space="preserve">0.827</w:t>
            </w:r>
          </w:p>
        </w:tc>
        <w:tc>
          <w:tcPr>
            <w:tcW w:type="dxa" w:w="804"/>
            <w:tcBorders>
              <w:top w:val="none" w:color="FFFFFF" w:sz="0"/>
              <w:left w:val="none" w:color="FFFFFF" w:sz="0"/>
              <w:bottom w:val="single" w:color="000000" w:sz="8"/>
              <w:right w:val="none" w:color="FFFFFF" w:sz="0"/>
            </w:tcBorders>
            <w:tcMar>
              <w:top w:type="dxa" w:w="40"/>
              <w:left w:type="dxa" w:w="80"/>
              <w:bottom w:type="dxa" w:w="40"/>
              <w:right w:type="dxa" w:w="80"/>
            </w:tcMar>
          </w:tcPr>
          <w:p>
            <w:pPr>
              <w:keepNext/>
              <w:jc w:val="center"/>
            </w:pPr>
            <w:r>
              <w:rPr>
                <w:b w:val="false"/>
                <w:bCs w:val="false"/>
              </w:rPr>
              <w:t xml:space="preserve">0.729</w:t>
            </w:r>
          </w:p>
        </w:tc>
        <w:tc>
          <w:tcPr>
            <w:tcW w:type="dxa" w:w="940"/>
            <w:tcBorders>
              <w:top w:val="none" w:color="FFFFFF" w:sz="0"/>
              <w:left w:val="none" w:color="FFFFFF" w:sz="0"/>
              <w:bottom w:val="single" w:color="000000" w:sz="8"/>
              <w:right w:val="none" w:color="FFFFFF" w:sz="0"/>
            </w:tcBorders>
            <w:tcMar>
              <w:top w:type="dxa" w:w="40"/>
              <w:left w:type="dxa" w:w="80"/>
              <w:bottom w:type="dxa" w:w="40"/>
              <w:right w:type="dxa" w:w="80"/>
            </w:tcMar>
          </w:tcPr>
          <w:p>
            <w:pPr>
              <w:keepNext/>
              <w:jc w:val="center"/>
            </w:pPr>
            <w:r>
              <w:rPr>
                <w:b/>
                <w:bCs/>
              </w:rPr>
              <w:t xml:space="preserve">0.889</w:t>
            </w:r>
          </w:p>
        </w:tc>
      </w:tr>
    </w:tbl>
    <w:p>
      <w:pPr>
        <w:spacing w:before="60" w:line="480"/>
      </w:pPr>
      <w:r>
        <w:rPr>
          <w:i/>
          <w:iCs/>
        </w:rPr>
        <w:t xml:space="preserve">Note. </w:t>
      </w:r>
      <w:r>
        <w:t xml:space="preserve">461 queries. The best value in each column is in bold.</w:t>
      </w:r>
    </w:p>
    <w:p>
      <w:pPr>
        <w:spacing w:line="480"/>
      </w:pPr>
    </w:p>
    <w:p>
      <w:pPr>
        <w:keepNext/>
        <w:spacing w:before="240" w:line="480"/>
      </w:pPr>
      <w:r>
        <w:rPr>
          <w:b/>
          <w:bCs/>
        </w:rPr>
        <w:t xml:space="preserve">Figure 9</w:t>
      </w:r>
    </w:p>
    <w:p>
      <w:pPr>
        <w:keepNext/>
        <w:spacing w:line="480"/>
      </w:pPr>
      <w:r>
        <w:rPr>
          <w:i/>
          <w:iCs/>
        </w:rPr>
        <w:t xml:space="preserve">Main Measures for Each Run</w:t>
      </w:r>
    </w:p>
    <w:p>
      <w:pPr>
        <w:spacing w:after="240"/>
        <w:jc w:val="center"/>
      </w:pPr>
      <w:r>
        <w:drawing>
          <wp:inline distT="0" distB="0" distL="0" distR="0">
            <wp:extent cx="5619750" cy="2447925"/>
            <wp:effectExtent t="0" r="0" b="0" l="0"/>
            <wp:docPr id="9" name="w7_chart_measures" descr="Main Measures for Each Run" title="Main Measures for Each R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619750" cy="2447925"/>
                    </a:xfrm>
                    <a:prstGeom prst="rect">
                      <a:avLst/>
                    </a:prstGeom>
                  </pic:spPr>
                </pic:pic>
              </a:graphicData>
            </a:graphic>
          </wp:inline>
        </w:drawing>
      </w:r>
    </w:p>
    <w:p>
      <w:pPr>
        <w:keepNext/>
        <w:spacing w:before="240" w:line="480"/>
      </w:pPr>
      <w:r>
        <w:rPr>
          <w:b/>
          <w:bCs/>
        </w:rPr>
        <w:t xml:space="preserve">Figure 10</w:t>
      </w:r>
    </w:p>
    <w:p>
      <w:pPr>
        <w:keepNext/>
        <w:spacing w:line="480"/>
      </w:pPr>
      <w:r>
        <w:rPr>
          <w:i/>
          <w:iCs/>
        </w:rPr>
        <w:t xml:space="preserve">All Eleven Measures (Program Output)</w:t>
      </w:r>
    </w:p>
    <w:p>
      <w:pPr>
        <w:spacing w:after="240"/>
        <w:jc w:val="center"/>
      </w:pPr>
      <w:r>
        <w:drawing>
          <wp:inline distT="0" distB="0" distL="0" distR="0">
            <wp:extent cx="5619750" cy="2009775"/>
            <wp:effectExtent t="0" r="0" b="0" l="0"/>
            <wp:docPr id="10" name="w7_run_e1" descr="All Eleven Measures (Program Output)" title="All Eleven Measures (Program 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619750" cy="2009775"/>
                    </a:xfrm>
                    <a:prstGeom prst="rect">
                      <a:avLst/>
                    </a:prstGeom>
                  </pic:spPr>
                </pic:pic>
              </a:graphicData>
            </a:graphic>
          </wp:inline>
        </w:drawing>
      </w:r>
    </w:p>
    <w:p>
      <w:pPr>
        <w:spacing w:after="0" w:before="0" w:line="480"/>
        <w:ind w:firstLine="720"/>
      </w:pPr>
      <w:r>
        <w:t xml:space="preserve">Precision@10 is low for every run (at most 0.349). This is not a weakness of the models: 300 of the 461 queries are known-item searches with one or two correct answers, so even a perfect ranking scores only 0.1 or 0.2 on P@10. MAP, MRR and nDCG are better guides here. Query expansion raised recall the most: R@10 rose from 0.729 to 0.876 and R@100 from 0.800 to 0.946, because translated and corrected query words find documents that the original words could not.</w:t>
      </w:r>
    </w:p>
    <w:p>
      <w:pPr>
        <w:spacing w:after="0" w:before="0" w:line="480"/>
        <w:ind w:firstLine="720"/>
      </w:pPr>
      <w:r>
        <w:t xml:space="preserve">The hybrid run has the best MRR among the untuned runs (0.816) and the highest share of queries answered at rank 1 (S@1 0.738), so fusing two rankers helps most at the very top of the list. The tuned BM25F run is best on almost every measure, with MAP 0.865 and nDCG@10 0.889. The Boolean model has the highest P@5 and P@10 of the untuned runs because it returns only documents that contain every query word, but its MRR and S@1 are low because it cannot rank them.</w:t>
      </w:r>
    </w:p>
    <w:p>
      <w:pPr>
        <w:pStyle w:val="Heading2"/>
      </w:pPr>
      <w:r>
        <w:t xml:space="preserve">Results by Query Group</w:t>
      </w:r>
    </w:p>
    <w:p>
      <w:pPr>
        <w:keepNext/>
        <w:spacing w:before="240" w:line="480"/>
      </w:pPr>
      <w:r>
        <w:rPr>
          <w:b/>
          <w:bCs/>
        </w:rPr>
        <w:t xml:space="preserve">Table 5</w:t>
      </w:r>
    </w:p>
    <w:p>
      <w:pPr>
        <w:keepNext/>
        <w:spacing w:line="480"/>
      </w:pPr>
      <w:r>
        <w:rPr>
          <w:i/>
          <w:iCs/>
        </w:rPr>
        <w:t xml:space="preserve">MAP by Query Group</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3494"/>
        <w:gridCol w:w="1068"/>
        <w:gridCol w:w="1068"/>
        <w:gridCol w:w="1165"/>
        <w:gridCol w:w="1165"/>
        <w:gridCol w:w="1066"/>
      </w:tblGrid>
      <w:tr>
        <w:trPr>
          <w:tblHeader/>
        </w:trPr>
        <w:tc>
          <w:tcPr>
            <w:tcW w:type="dxa" w:w="3494"/>
            <w:tcBorders>
              <w:top w:val="single" w:color="000000" w:sz="8"/>
              <w:left w:val="none" w:color="FFFFFF" w:sz="0"/>
              <w:bottom w:val="single" w:color="000000" w:sz="8"/>
              <w:right w:val="none" w:color="FFFFFF" w:sz="0"/>
            </w:tcBorders>
            <w:tcMar>
              <w:top w:type="dxa" w:w="40"/>
              <w:left w:type="dxa" w:w="80"/>
              <w:bottom w:type="dxa" w:w="40"/>
              <w:right w:type="dxa" w:w="80"/>
            </w:tcMar>
          </w:tcPr>
          <w:p>
            <w:pPr>
              <w:keepNext/>
              <w:jc w:val="left"/>
            </w:pPr>
            <w:r>
              <w:rPr>
                <w:b w:val="false"/>
                <w:bCs w:val="false"/>
              </w:rPr>
              <w:t xml:space="preserve">Group</w:t>
            </w:r>
          </w:p>
        </w:tc>
        <w:tc>
          <w:tcPr>
            <w:tcW w:type="dxa" w:w="1068"/>
            <w:tcBorders>
              <w:top w:val="single" w:color="000000" w:sz="8"/>
              <w:left w:val="none" w:color="FFFFFF" w:sz="0"/>
              <w:bottom w:val="single" w:color="000000" w:sz="8"/>
              <w:right w:val="none" w:color="FFFFFF" w:sz="0"/>
            </w:tcBorders>
            <w:tcMar>
              <w:top w:type="dxa" w:w="40"/>
              <w:left w:type="dxa" w:w="80"/>
              <w:bottom w:type="dxa" w:w="40"/>
              <w:right w:type="dxa" w:w="80"/>
            </w:tcMar>
          </w:tcPr>
          <w:p>
            <w:pPr>
              <w:keepNext/>
              <w:jc w:val="center"/>
            </w:pPr>
            <w:r>
              <w:rPr>
                <w:b w:val="false"/>
                <w:bCs w:val="false"/>
              </w:rPr>
              <w:t xml:space="preserve">Boolean</w:t>
            </w:r>
          </w:p>
        </w:tc>
        <w:tc>
          <w:tcPr>
            <w:tcW w:type="dxa" w:w="1068"/>
            <w:tcBorders>
              <w:top w:val="single" w:color="000000" w:sz="8"/>
              <w:left w:val="none" w:color="FFFFFF" w:sz="0"/>
              <w:bottom w:val="single" w:color="000000" w:sz="8"/>
              <w:right w:val="none" w:color="FFFFFF" w:sz="0"/>
            </w:tcBorders>
            <w:tcMar>
              <w:top w:type="dxa" w:w="40"/>
              <w:left w:type="dxa" w:w="80"/>
              <w:bottom w:type="dxa" w:w="40"/>
              <w:right w:type="dxa" w:w="80"/>
            </w:tcMar>
          </w:tcPr>
          <w:p>
            <w:pPr>
              <w:keepNext/>
              <w:jc w:val="center"/>
            </w:pPr>
            <w:r>
              <w:rPr>
                <w:b w:val="false"/>
                <w:bCs w:val="false"/>
              </w:rPr>
              <w:t xml:space="preserve">BM25F</w:t>
            </w:r>
          </w:p>
        </w:tc>
        <w:tc>
          <w:tcPr>
            <w:tcW w:type="dxa" w:w="1165"/>
            <w:tcBorders>
              <w:top w:val="single" w:color="000000" w:sz="8"/>
              <w:left w:val="none" w:color="FFFFFF" w:sz="0"/>
              <w:bottom w:val="single" w:color="000000" w:sz="8"/>
              <w:right w:val="none" w:color="FFFFFF" w:sz="0"/>
            </w:tcBorders>
            <w:tcMar>
              <w:top w:type="dxa" w:w="40"/>
              <w:left w:type="dxa" w:w="80"/>
              <w:bottom w:type="dxa" w:w="40"/>
              <w:right w:type="dxa" w:w="80"/>
            </w:tcMar>
          </w:tcPr>
          <w:p>
            <w:pPr>
              <w:keepNext/>
              <w:jc w:val="center"/>
            </w:pPr>
            <w:r>
              <w:rPr>
                <w:b w:val="false"/>
                <w:bCs w:val="false"/>
              </w:rPr>
              <w:t xml:space="preserve">BM25F + exp.</w:t>
            </w:r>
          </w:p>
        </w:tc>
        <w:tc>
          <w:tcPr>
            <w:tcW w:type="dxa" w:w="1165"/>
            <w:tcBorders>
              <w:top w:val="single" w:color="000000" w:sz="8"/>
              <w:left w:val="none" w:color="FFFFFF" w:sz="0"/>
              <w:bottom w:val="single" w:color="000000" w:sz="8"/>
              <w:right w:val="none" w:color="FFFFFF" w:sz="0"/>
            </w:tcBorders>
            <w:tcMar>
              <w:top w:type="dxa" w:w="40"/>
              <w:left w:type="dxa" w:w="80"/>
              <w:bottom w:type="dxa" w:w="40"/>
              <w:right w:type="dxa" w:w="80"/>
            </w:tcMar>
          </w:tcPr>
          <w:p>
            <w:pPr>
              <w:keepNext/>
              <w:jc w:val="center"/>
            </w:pPr>
            <w:r>
              <w:rPr>
                <w:b w:val="false"/>
                <w:bCs w:val="false"/>
              </w:rPr>
              <w:t xml:space="preserve">Hybrid + exp.</w:t>
            </w:r>
          </w:p>
        </w:tc>
        <w:tc>
          <w:tcPr>
            <w:tcW w:type="dxa" w:w="1066"/>
            <w:tcBorders>
              <w:top w:val="single" w:color="000000" w:sz="8"/>
              <w:left w:val="none" w:color="FFFFFF" w:sz="0"/>
              <w:bottom w:val="single" w:color="000000" w:sz="8"/>
              <w:right w:val="none" w:color="FFFFFF" w:sz="0"/>
            </w:tcBorders>
            <w:tcMar>
              <w:top w:type="dxa" w:w="40"/>
              <w:left w:type="dxa" w:w="80"/>
              <w:bottom w:type="dxa" w:w="40"/>
              <w:right w:type="dxa" w:w="80"/>
            </w:tcMar>
          </w:tcPr>
          <w:p>
            <w:pPr>
              <w:keepNext/>
              <w:jc w:val="center"/>
            </w:pPr>
            <w:r>
              <w:rPr>
                <w:b w:val="false"/>
                <w:bCs w:val="false"/>
              </w:rPr>
              <w:t xml:space="preserve">Tuned</w:t>
            </w:r>
          </w:p>
        </w:tc>
      </w:tr>
      <w:tr>
        <w:trPr>
          <w:cantSplit/>
        </w:trPr>
        <w:tc>
          <w:tcPr>
            <w:tcW w:type="dxa" w:w="3494"/>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left"/>
            </w:pPr>
            <w:r>
              <w:rPr>
                <w:b w:val="false"/>
                <w:bCs w:val="false"/>
              </w:rPr>
              <w:t xml:space="preserve">T1 local gov. by district, EN</w:t>
            </w:r>
          </w:p>
        </w:tc>
        <w:tc>
          <w:tcPr>
            <w:tcW w:type="dxa" w:w="1068"/>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center"/>
            </w:pPr>
            <w:r>
              <w:rPr>
                <w:b w:val="false"/>
                <w:bCs w:val="false"/>
              </w:rPr>
              <w:t xml:space="preserve">0.997</w:t>
            </w:r>
          </w:p>
        </w:tc>
        <w:tc>
          <w:tcPr>
            <w:tcW w:type="dxa" w:w="1068"/>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center"/>
            </w:pPr>
            <w:r>
              <w:rPr>
                <w:b w:val="false"/>
                <w:bCs w:val="false"/>
              </w:rPr>
              <w:t xml:space="preserve">0.654</w:t>
            </w:r>
          </w:p>
        </w:tc>
        <w:tc>
          <w:tcPr>
            <w:tcW w:type="dxa" w:w="1165"/>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center"/>
            </w:pPr>
            <w:r>
              <w:rPr>
                <w:b w:val="false"/>
                <w:bCs w:val="false"/>
              </w:rPr>
              <w:t xml:space="preserve">0.669</w:t>
            </w:r>
          </w:p>
        </w:tc>
        <w:tc>
          <w:tcPr>
            <w:tcW w:type="dxa" w:w="1165"/>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center"/>
            </w:pPr>
            <w:r>
              <w:rPr>
                <w:b w:val="false"/>
                <w:bCs w:val="false"/>
              </w:rPr>
              <w:t xml:space="preserve">0.693</w:t>
            </w:r>
          </w:p>
        </w:tc>
        <w:tc>
          <w:tcPr>
            <w:tcW w:type="dxa" w:w="1066"/>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center"/>
            </w:pPr>
            <w:r>
              <w:rPr>
                <w:b w:val="false"/>
                <w:bCs w:val="false"/>
              </w:rPr>
              <w:t xml:space="preserve">0.792</w:t>
            </w:r>
          </w:p>
        </w:tc>
      </w:tr>
      <w:tr>
        <w:trPr>
          <w:cantSplit/>
        </w:trPr>
        <w:tc>
          <w:tcPr>
            <w:tcW w:type="dxa" w:w="3494"/>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left"/>
            </w:pPr>
            <w:r>
              <w:rPr>
                <w:b w:val="false"/>
                <w:bCs w:val="false"/>
              </w:rPr>
              <w:t xml:space="preserve">T2 local gov. by district, NE</w:t>
            </w:r>
          </w:p>
        </w:tc>
        <w:tc>
          <w:tcPr>
            <w:tcW w:type="dxa" w:w="1068"/>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center"/>
            </w:pPr>
            <w:r>
              <w:rPr>
                <w:b w:val="false"/>
                <w:bCs w:val="false"/>
              </w:rPr>
              <w:t xml:space="preserve">1.000</w:t>
            </w:r>
          </w:p>
        </w:tc>
        <w:tc>
          <w:tcPr>
            <w:tcW w:type="dxa" w:w="1068"/>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center"/>
            </w:pPr>
            <w:r>
              <w:rPr>
                <w:b w:val="false"/>
                <w:bCs w:val="false"/>
              </w:rPr>
              <w:t xml:space="preserve">0.793</w:t>
            </w:r>
          </w:p>
        </w:tc>
        <w:tc>
          <w:tcPr>
            <w:tcW w:type="dxa" w:w="1165"/>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center"/>
            </w:pPr>
            <w:r>
              <w:rPr>
                <w:b w:val="false"/>
                <w:bCs w:val="false"/>
              </w:rPr>
              <w:t xml:space="preserve">0.791</w:t>
            </w:r>
          </w:p>
        </w:tc>
        <w:tc>
          <w:tcPr>
            <w:tcW w:type="dxa" w:w="1165"/>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center"/>
            </w:pPr>
            <w:r>
              <w:rPr>
                <w:b w:val="false"/>
                <w:bCs w:val="false"/>
              </w:rPr>
              <w:t xml:space="preserve">0.835</w:t>
            </w:r>
          </w:p>
        </w:tc>
        <w:tc>
          <w:tcPr>
            <w:tcW w:type="dxa" w:w="1066"/>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center"/>
            </w:pPr>
            <w:r>
              <w:rPr>
                <w:b w:val="false"/>
                <w:bCs w:val="false"/>
              </w:rPr>
              <w:t xml:space="preserve">0.988</w:t>
            </w:r>
          </w:p>
        </w:tc>
      </w:tr>
      <w:tr>
        <w:trPr>
          <w:cantSplit/>
        </w:trPr>
        <w:tc>
          <w:tcPr>
            <w:tcW w:type="dxa" w:w="3494"/>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left"/>
            </w:pPr>
            <w:r>
              <w:rPr>
                <w:b w:val="false"/>
                <w:bCs w:val="false"/>
              </w:rPr>
              <w:t xml:space="preserve">T3 districts by province</w:t>
            </w:r>
          </w:p>
        </w:tc>
        <w:tc>
          <w:tcPr>
            <w:tcW w:type="dxa" w:w="1068"/>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center"/>
            </w:pPr>
            <w:r>
              <w:rPr>
                <w:b w:val="false"/>
                <w:bCs w:val="false"/>
              </w:rPr>
              <w:t xml:space="preserve">0.791</w:t>
            </w:r>
          </w:p>
        </w:tc>
        <w:tc>
          <w:tcPr>
            <w:tcW w:type="dxa" w:w="1068"/>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center"/>
            </w:pPr>
            <w:r>
              <w:rPr>
                <w:b w:val="false"/>
                <w:bCs w:val="false"/>
              </w:rPr>
              <w:t xml:space="preserve">0.470</w:t>
            </w:r>
          </w:p>
        </w:tc>
        <w:tc>
          <w:tcPr>
            <w:tcW w:type="dxa" w:w="1165"/>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center"/>
            </w:pPr>
            <w:r>
              <w:rPr>
                <w:b w:val="false"/>
                <w:bCs w:val="false"/>
              </w:rPr>
              <w:t xml:space="preserve">0.436</w:t>
            </w:r>
          </w:p>
        </w:tc>
        <w:tc>
          <w:tcPr>
            <w:tcW w:type="dxa" w:w="1165"/>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center"/>
            </w:pPr>
            <w:r>
              <w:rPr>
                <w:b w:val="false"/>
                <w:bCs w:val="false"/>
              </w:rPr>
              <w:t xml:space="preserve">0.104</w:t>
            </w:r>
          </w:p>
        </w:tc>
        <w:tc>
          <w:tcPr>
            <w:tcW w:type="dxa" w:w="1066"/>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center"/>
            </w:pPr>
            <w:r>
              <w:rPr>
                <w:b w:val="false"/>
                <w:bCs w:val="false"/>
              </w:rPr>
              <w:t xml:space="preserve">0.719</w:t>
            </w:r>
          </w:p>
        </w:tc>
      </w:tr>
      <w:tr>
        <w:trPr>
          <w:cantSplit/>
        </w:trPr>
        <w:tc>
          <w:tcPr>
            <w:tcW w:type="dxa" w:w="3494"/>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left"/>
            </w:pPr>
            <w:r>
              <w:rPr>
                <w:b w:val="false"/>
                <w:bCs w:val="false"/>
              </w:rPr>
              <w:t xml:space="preserve">T4 local government by name</w:t>
            </w:r>
          </w:p>
        </w:tc>
        <w:tc>
          <w:tcPr>
            <w:tcW w:type="dxa" w:w="1068"/>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center"/>
            </w:pPr>
            <w:r>
              <w:rPr>
                <w:b w:val="false"/>
                <w:bCs w:val="false"/>
              </w:rPr>
              <w:t xml:space="preserve">0.494</w:t>
            </w:r>
          </w:p>
        </w:tc>
        <w:tc>
          <w:tcPr>
            <w:tcW w:type="dxa" w:w="1068"/>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center"/>
            </w:pPr>
            <w:r>
              <w:rPr>
                <w:b w:val="false"/>
                <w:bCs w:val="false"/>
              </w:rPr>
              <w:t xml:space="preserve">0.846</w:t>
            </w:r>
          </w:p>
        </w:tc>
        <w:tc>
          <w:tcPr>
            <w:tcW w:type="dxa" w:w="1165"/>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center"/>
            </w:pPr>
            <w:r>
              <w:rPr>
                <w:b w:val="false"/>
                <w:bCs w:val="false"/>
              </w:rPr>
              <w:t xml:space="preserve">1.000</w:t>
            </w:r>
          </w:p>
        </w:tc>
        <w:tc>
          <w:tcPr>
            <w:tcW w:type="dxa" w:w="1165"/>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center"/>
            </w:pPr>
            <w:r>
              <w:rPr>
                <w:b w:val="false"/>
                <w:bCs w:val="false"/>
              </w:rPr>
              <w:t xml:space="preserve">0.995</w:t>
            </w:r>
          </w:p>
        </w:tc>
        <w:tc>
          <w:tcPr>
            <w:tcW w:type="dxa" w:w="1066"/>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center"/>
            </w:pPr>
            <w:r>
              <w:rPr>
                <w:b w:val="false"/>
                <w:bCs w:val="false"/>
              </w:rPr>
              <w:t xml:space="preserve">1.000</w:t>
            </w:r>
          </w:p>
        </w:tc>
      </w:tr>
      <w:tr>
        <w:trPr>
          <w:cantSplit/>
        </w:trPr>
        <w:tc>
          <w:tcPr>
            <w:tcW w:type="dxa" w:w="3494"/>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left"/>
            </w:pPr>
            <w:r>
              <w:rPr>
                <w:b w:val="false"/>
                <w:bCs w:val="false"/>
              </w:rPr>
              <w:t xml:space="preserve">T5 name with a typo</w:t>
            </w:r>
          </w:p>
        </w:tc>
        <w:tc>
          <w:tcPr>
            <w:tcW w:type="dxa" w:w="1068"/>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center"/>
            </w:pPr>
            <w:r>
              <w:rPr>
                <w:b w:val="false"/>
                <w:bCs w:val="false"/>
              </w:rPr>
              <w:t xml:space="preserve">0.000</w:t>
            </w:r>
          </w:p>
        </w:tc>
        <w:tc>
          <w:tcPr>
            <w:tcW w:type="dxa" w:w="1068"/>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center"/>
            </w:pPr>
            <w:r>
              <w:rPr>
                <w:b w:val="false"/>
                <w:bCs w:val="false"/>
              </w:rPr>
              <w:t xml:space="preserve">0.057</w:t>
            </w:r>
          </w:p>
        </w:tc>
        <w:tc>
          <w:tcPr>
            <w:tcW w:type="dxa" w:w="1165"/>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center"/>
            </w:pPr>
            <w:r>
              <w:rPr>
                <w:b w:val="false"/>
                <w:bCs w:val="false"/>
              </w:rPr>
              <w:t xml:space="preserve">0.725</w:t>
            </w:r>
          </w:p>
        </w:tc>
        <w:tc>
          <w:tcPr>
            <w:tcW w:type="dxa" w:w="1165"/>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center"/>
            </w:pPr>
            <w:r>
              <w:rPr>
                <w:b w:val="false"/>
                <w:bCs w:val="false"/>
              </w:rPr>
              <w:t xml:space="preserve">0.720</w:t>
            </w:r>
          </w:p>
        </w:tc>
        <w:tc>
          <w:tcPr>
            <w:tcW w:type="dxa" w:w="1066"/>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center"/>
            </w:pPr>
            <w:r>
              <w:rPr>
                <w:b w:val="false"/>
                <w:bCs w:val="false"/>
              </w:rPr>
              <w:t xml:space="preserve">0.725</w:t>
            </w:r>
          </w:p>
        </w:tc>
      </w:tr>
      <w:tr>
        <w:trPr>
          <w:cantSplit/>
        </w:trPr>
        <w:tc>
          <w:tcPr>
            <w:tcW w:type="dxa" w:w="3494"/>
            <w:tcBorders>
              <w:top w:val="none" w:color="FFFFFF" w:sz="0"/>
              <w:left w:val="none" w:color="FFFFFF" w:sz="0"/>
              <w:bottom w:val="single" w:color="000000" w:sz="8"/>
              <w:right w:val="none" w:color="FFFFFF" w:sz="0"/>
            </w:tcBorders>
            <w:tcMar>
              <w:top w:type="dxa" w:w="40"/>
              <w:left w:type="dxa" w:w="80"/>
              <w:bottom w:type="dxa" w:w="40"/>
              <w:right w:type="dxa" w:w="80"/>
            </w:tcMar>
          </w:tcPr>
          <w:p>
            <w:pPr>
              <w:keepNext/>
              <w:jc w:val="left"/>
            </w:pPr>
            <w:r>
              <w:rPr>
                <w:b w:val="false"/>
                <w:bCs w:val="false"/>
              </w:rPr>
              <w:t xml:space="preserve">T6 website by name</w:t>
            </w:r>
          </w:p>
        </w:tc>
        <w:tc>
          <w:tcPr>
            <w:tcW w:type="dxa" w:w="1068"/>
            <w:tcBorders>
              <w:top w:val="none" w:color="FFFFFF" w:sz="0"/>
              <w:left w:val="none" w:color="FFFFFF" w:sz="0"/>
              <w:bottom w:val="single" w:color="000000" w:sz="8"/>
              <w:right w:val="none" w:color="FFFFFF" w:sz="0"/>
            </w:tcBorders>
            <w:tcMar>
              <w:top w:type="dxa" w:w="40"/>
              <w:left w:type="dxa" w:w="80"/>
              <w:bottom w:type="dxa" w:w="40"/>
              <w:right w:type="dxa" w:w="80"/>
            </w:tcMar>
          </w:tcPr>
          <w:p>
            <w:pPr>
              <w:keepNext/>
              <w:jc w:val="center"/>
            </w:pPr>
            <w:r>
              <w:rPr>
                <w:b w:val="false"/>
                <w:bCs w:val="false"/>
              </w:rPr>
              <w:t xml:space="preserve">0.782</w:t>
            </w:r>
          </w:p>
        </w:tc>
        <w:tc>
          <w:tcPr>
            <w:tcW w:type="dxa" w:w="1068"/>
            <w:tcBorders>
              <w:top w:val="none" w:color="FFFFFF" w:sz="0"/>
              <w:left w:val="none" w:color="FFFFFF" w:sz="0"/>
              <w:bottom w:val="single" w:color="000000" w:sz="8"/>
              <w:right w:val="none" w:color="FFFFFF" w:sz="0"/>
            </w:tcBorders>
            <w:tcMar>
              <w:top w:type="dxa" w:w="40"/>
              <w:left w:type="dxa" w:w="80"/>
              <w:bottom w:type="dxa" w:w="40"/>
              <w:right w:type="dxa" w:w="80"/>
            </w:tcMar>
          </w:tcPr>
          <w:p>
            <w:pPr>
              <w:keepNext/>
              <w:jc w:val="center"/>
            </w:pPr>
            <w:r>
              <w:rPr>
                <w:b w:val="false"/>
                <w:bCs w:val="false"/>
              </w:rPr>
              <w:t xml:space="preserve">0.917</w:t>
            </w:r>
          </w:p>
        </w:tc>
        <w:tc>
          <w:tcPr>
            <w:tcW w:type="dxa" w:w="1165"/>
            <w:tcBorders>
              <w:top w:val="none" w:color="FFFFFF" w:sz="0"/>
              <w:left w:val="none" w:color="FFFFFF" w:sz="0"/>
              <w:bottom w:val="single" w:color="000000" w:sz="8"/>
              <w:right w:val="none" w:color="FFFFFF" w:sz="0"/>
            </w:tcBorders>
            <w:tcMar>
              <w:top w:type="dxa" w:w="40"/>
              <w:left w:type="dxa" w:w="80"/>
              <w:bottom w:type="dxa" w:w="40"/>
              <w:right w:type="dxa" w:w="80"/>
            </w:tcMar>
          </w:tcPr>
          <w:p>
            <w:pPr>
              <w:keepNext/>
              <w:jc w:val="center"/>
            </w:pPr>
            <w:r>
              <w:rPr>
                <w:b w:val="false"/>
                <w:bCs w:val="false"/>
              </w:rPr>
              <w:t xml:space="preserve">0.823</w:t>
            </w:r>
          </w:p>
        </w:tc>
        <w:tc>
          <w:tcPr>
            <w:tcW w:type="dxa" w:w="1165"/>
            <w:tcBorders>
              <w:top w:val="none" w:color="FFFFFF" w:sz="0"/>
              <w:left w:val="none" w:color="FFFFFF" w:sz="0"/>
              <w:bottom w:val="single" w:color="000000" w:sz="8"/>
              <w:right w:val="none" w:color="FFFFFF" w:sz="0"/>
            </w:tcBorders>
            <w:tcMar>
              <w:top w:type="dxa" w:w="40"/>
              <w:left w:type="dxa" w:w="80"/>
              <w:bottom w:type="dxa" w:w="40"/>
              <w:right w:type="dxa" w:w="80"/>
            </w:tcMar>
          </w:tcPr>
          <w:p>
            <w:pPr>
              <w:keepNext/>
              <w:jc w:val="center"/>
            </w:pPr>
            <w:r>
              <w:rPr>
                <w:b w:val="false"/>
                <w:bCs w:val="false"/>
              </w:rPr>
              <w:t xml:space="preserve">0.841</w:t>
            </w:r>
          </w:p>
        </w:tc>
        <w:tc>
          <w:tcPr>
            <w:tcW w:type="dxa" w:w="1066"/>
            <w:tcBorders>
              <w:top w:val="none" w:color="FFFFFF" w:sz="0"/>
              <w:left w:val="none" w:color="FFFFFF" w:sz="0"/>
              <w:bottom w:val="single" w:color="000000" w:sz="8"/>
              <w:right w:val="none" w:color="FFFFFF" w:sz="0"/>
            </w:tcBorders>
            <w:tcMar>
              <w:top w:type="dxa" w:w="40"/>
              <w:left w:type="dxa" w:w="80"/>
              <w:bottom w:type="dxa" w:w="40"/>
              <w:right w:type="dxa" w:w="80"/>
            </w:tcMar>
          </w:tcPr>
          <w:p>
            <w:pPr>
              <w:keepNext/>
              <w:jc w:val="center"/>
            </w:pPr>
            <w:r>
              <w:rPr>
                <w:b w:val="false"/>
                <w:bCs w:val="false"/>
              </w:rPr>
              <w:t xml:space="preserve">0.841</w:t>
            </w:r>
          </w:p>
        </w:tc>
      </w:tr>
    </w:tbl>
    <w:p>
      <w:pPr>
        <w:spacing w:line="480"/>
      </w:pPr>
    </w:p>
    <w:p>
      <w:pPr>
        <w:keepNext/>
        <w:spacing w:before="240" w:line="480"/>
      </w:pPr>
      <w:r>
        <w:rPr>
          <w:b/>
          <w:bCs/>
        </w:rPr>
        <w:t xml:space="preserve">Figure 11</w:t>
      </w:r>
    </w:p>
    <w:p>
      <w:pPr>
        <w:keepNext/>
        <w:spacing w:line="480"/>
      </w:pPr>
      <w:r>
        <w:rPr>
          <w:i/>
          <w:iCs/>
        </w:rPr>
        <w:t xml:space="preserve">nDCG@10 by Query Group</w:t>
      </w:r>
    </w:p>
    <w:p>
      <w:pPr>
        <w:spacing w:after="240"/>
        <w:jc w:val="center"/>
      </w:pPr>
      <w:r>
        <w:drawing>
          <wp:inline distT="0" distB="0" distL="0" distR="0">
            <wp:extent cx="5619750" cy="2247900"/>
            <wp:effectExtent t="0" r="0" b="0" l="0"/>
            <wp:docPr id="11" name="w7_chart_groups" descr="nDCG@10 by Query Group" title="nDCG@10 by Quer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619750" cy="2247900"/>
                    </a:xfrm>
                    <a:prstGeom prst="rect">
                      <a:avLst/>
                    </a:prstGeom>
                  </pic:spPr>
                </pic:pic>
              </a:graphicData>
            </a:graphic>
          </wp:inline>
        </w:drawing>
      </w:r>
    </w:p>
    <w:p>
      <w:pPr>
        <w:spacing w:after="0" w:before="0" w:line="480"/>
        <w:ind w:firstLine="720"/>
      </w:pPr>
      <w:r>
        <w:t xml:space="preserve">The groups behave very differently. Spelling correction is what makes misspelt names (T5) findable at all: MAP rose from 0.057 to 0.725. On the other hand, expansion slightly hurt website names (T6: 0.917 without expansion, 0.823 with it). Tuning helped most on the queries that ask for many documents: Nepali district queries (T2) rose from 0.791 to 0.988 and province queries (T3) from 0.436 to 0.719.</w:t>
      </w:r>
    </w:p>
    <w:p>
      <w:pPr>
        <w:pStyle w:val="Heading2"/>
      </w:pPr>
      <w:r>
        <w:t xml:space="preserve">Precision-Recall and Cut-off Analysis (E2, E5)</w:t>
      </w:r>
    </w:p>
    <w:p>
      <w:pPr>
        <w:keepNext/>
        <w:spacing w:before="240" w:line="480"/>
      </w:pPr>
      <w:r>
        <w:rPr>
          <w:b/>
          <w:bCs/>
        </w:rPr>
        <w:t xml:space="preserve">Figure 12</w:t>
      </w:r>
    </w:p>
    <w:p>
      <w:pPr>
        <w:keepNext/>
        <w:spacing w:line="480"/>
      </w:pPr>
      <w:r>
        <w:rPr>
          <w:i/>
          <w:iCs/>
        </w:rPr>
        <w:t xml:space="preserve">Interpolated Precision-Recall Curves</w:t>
      </w:r>
    </w:p>
    <w:p>
      <w:pPr>
        <w:spacing w:after="240"/>
        <w:jc w:val="center"/>
      </w:pPr>
      <w:r>
        <w:drawing>
          <wp:inline distT="0" distB="0" distL="0" distR="0">
            <wp:extent cx="5619750" cy="3743325"/>
            <wp:effectExtent t="0" r="0" b="0" l="0"/>
            <wp:docPr id="12" name="w7_chart_pr" descr="Interpolated Precision-Recall Curves" title="Interpolated Precision-Recall Cur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619750" cy="3743325"/>
                    </a:xfrm>
                    <a:prstGeom prst="rect">
                      <a:avLst/>
                    </a:prstGeom>
                  </pic:spPr>
                </pic:pic>
              </a:graphicData>
            </a:graphic>
          </wp:inline>
        </w:drawing>
      </w:r>
    </w:p>
    <w:p>
      <w:pPr>
        <w:spacing w:after="0" w:before="0" w:line="480"/>
        <w:ind w:firstLine="720"/>
      </w:pPr>
      <w:r>
        <w:t xml:space="preserve">The precision-recall curves (Figure 12) are almost flat. Most queries have their relevant documents together near the top, so precision hardly falls as recall rises; the level of each curve mostly reflects how many queries fail completely, which pull the average down at every recall level. The expansion runs are about 0.15 higher than the runs without expansion at every recall level, and the tuned run is highest everywhere.</w:t>
      </w:r>
    </w:p>
    <w:p>
      <w:pPr>
        <w:keepNext/>
        <w:spacing w:before="240" w:line="480"/>
      </w:pPr>
      <w:r>
        <w:rPr>
          <w:b/>
          <w:bCs/>
        </w:rPr>
        <w:t xml:space="preserve">Figure 13</w:t>
      </w:r>
    </w:p>
    <w:p>
      <w:pPr>
        <w:keepNext/>
        <w:spacing w:line="480"/>
      </w:pPr>
      <w:r>
        <w:rPr>
          <w:i/>
          <w:iCs/>
        </w:rPr>
        <w:t xml:space="preserve">Precision and Recall at Cut-off k</w:t>
      </w:r>
    </w:p>
    <w:p>
      <w:pPr>
        <w:spacing w:after="240"/>
        <w:jc w:val="center"/>
      </w:pPr>
      <w:r>
        <w:drawing>
          <wp:inline distT="0" distB="0" distL="0" distR="0">
            <wp:extent cx="5619750" cy="2143125"/>
            <wp:effectExtent t="0" r="0" b="0" l="0"/>
            <wp:docPr id="13" name="w7_chart_cutoff" descr="Precision and Recall at Cut-off k" title="Precision and Recall at Cut-off 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619750" cy="2143125"/>
                    </a:xfrm>
                    <a:prstGeom prst="rect">
                      <a:avLst/>
                    </a:prstGeom>
                  </pic:spPr>
                </pic:pic>
              </a:graphicData>
            </a:graphic>
          </wp:inline>
        </w:drawing>
      </w:r>
    </w:p>
    <w:p>
      <w:pPr>
        <w:spacing w:after="0" w:before="0" w:line="480"/>
        <w:ind w:firstLine="720"/>
      </w:pPr>
      <w:r>
        <w:t xml:space="preserve">Figure 13 shows the usual trade-off: as more results are examined, recall rises and precision falls. With expansion, about 72% of all relevant documents are already in the top 5 (against 58% for BM25F without expansion), and recall keeps rising slowly up to rank 20 for the queries with many relevant documents.</w:t>
      </w:r>
    </w:p>
    <w:p>
      <w:pPr>
        <w:pStyle w:val="Heading2"/>
      </w:pPr>
      <w:r>
        <w:t xml:space="preserve">Statistical Significance (E3)</w:t>
      </w:r>
    </w:p>
    <w:p>
      <w:pPr>
        <w:keepNext/>
        <w:spacing w:before="240" w:line="480"/>
      </w:pPr>
      <w:r>
        <w:rPr>
          <w:b/>
          <w:bCs/>
        </w:rPr>
        <w:t xml:space="preserve">Table 6</w:t>
      </w:r>
    </w:p>
    <w:p>
      <w:pPr>
        <w:keepNext/>
        <w:spacing w:line="480"/>
      </w:pPr>
      <w:r>
        <w:rPr>
          <w:i/>
          <w:iCs/>
        </w:rPr>
        <w:t xml:space="preserve">Paired Randomisation Test Against BM25F</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3410"/>
        <w:gridCol w:w="1003"/>
        <w:gridCol w:w="1003"/>
        <w:gridCol w:w="1203"/>
        <w:gridCol w:w="1003"/>
        <w:gridCol w:w="1404"/>
      </w:tblGrid>
      <w:tr>
        <w:trPr>
          <w:tblHeader/>
        </w:trPr>
        <w:tc>
          <w:tcPr>
            <w:tcW w:type="dxa" w:w="3410"/>
            <w:tcBorders>
              <w:top w:val="single" w:color="000000" w:sz="8"/>
              <w:left w:val="none" w:color="FFFFFF" w:sz="0"/>
              <w:bottom w:val="single" w:color="000000" w:sz="8"/>
              <w:right w:val="none" w:color="FFFFFF" w:sz="0"/>
            </w:tcBorders>
            <w:tcMar>
              <w:top w:type="dxa" w:w="40"/>
              <w:left w:type="dxa" w:w="80"/>
              <w:bottom w:type="dxa" w:w="40"/>
              <w:right w:type="dxa" w:w="80"/>
            </w:tcMar>
          </w:tcPr>
          <w:p>
            <w:pPr>
              <w:keepNext/>
              <w:jc w:val="left"/>
            </w:pPr>
            <w:r>
              <w:rPr>
                <w:b w:val="false"/>
                <w:bCs w:val="false"/>
              </w:rPr>
              <w:t xml:space="preserve">Run vs. BM25F</w:t>
            </w:r>
          </w:p>
        </w:tc>
        <w:tc>
          <w:tcPr>
            <w:tcW w:type="dxa" w:w="1003"/>
            <w:tcBorders>
              <w:top w:val="single" w:color="000000" w:sz="8"/>
              <w:left w:val="none" w:color="FFFFFF" w:sz="0"/>
              <w:bottom w:val="single" w:color="000000" w:sz="8"/>
              <w:right w:val="none" w:color="FFFFFF" w:sz="0"/>
            </w:tcBorders>
            <w:tcMar>
              <w:top w:type="dxa" w:w="40"/>
              <w:left w:type="dxa" w:w="80"/>
              <w:bottom w:type="dxa" w:w="40"/>
              <w:right w:type="dxa" w:w="80"/>
            </w:tcMar>
          </w:tcPr>
          <w:p>
            <w:pPr>
              <w:keepNext/>
              <w:jc w:val="left"/>
            </w:pPr>
            <w:r>
              <w:rPr>
                <w:b w:val="false"/>
                <w:bCs w:val="false"/>
              </w:rPr>
              <w:t xml:space="preserve">ΔMAP</w:t>
            </w:r>
          </w:p>
        </w:tc>
        <w:tc>
          <w:tcPr>
            <w:tcW w:type="dxa" w:w="1003"/>
            <w:tcBorders>
              <w:top w:val="single" w:color="000000" w:sz="8"/>
              <w:left w:val="none" w:color="FFFFFF" w:sz="0"/>
              <w:bottom w:val="single" w:color="000000" w:sz="8"/>
              <w:right w:val="none" w:color="FFFFFF" w:sz="0"/>
            </w:tcBorders>
            <w:tcMar>
              <w:top w:type="dxa" w:w="40"/>
              <w:left w:type="dxa" w:w="80"/>
              <w:bottom w:type="dxa" w:w="40"/>
              <w:right w:type="dxa" w:w="80"/>
            </w:tcMar>
          </w:tcPr>
          <w:p>
            <w:pPr>
              <w:keepNext/>
              <w:jc w:val="left"/>
            </w:pPr>
            <w:r>
              <w:rPr>
                <w:b w:val="false"/>
                <w:bCs w:val="false"/>
              </w:rPr>
              <w:t xml:space="preserve">p</w:t>
            </w:r>
          </w:p>
        </w:tc>
        <w:tc>
          <w:tcPr>
            <w:tcW w:type="dxa" w:w="1203"/>
            <w:tcBorders>
              <w:top w:val="single" w:color="000000" w:sz="8"/>
              <w:left w:val="none" w:color="FFFFFF" w:sz="0"/>
              <w:bottom w:val="single" w:color="000000" w:sz="8"/>
              <w:right w:val="none" w:color="FFFFFF" w:sz="0"/>
            </w:tcBorders>
            <w:tcMar>
              <w:top w:type="dxa" w:w="40"/>
              <w:left w:type="dxa" w:w="80"/>
              <w:bottom w:type="dxa" w:w="40"/>
              <w:right w:type="dxa" w:w="80"/>
            </w:tcMar>
          </w:tcPr>
          <w:p>
            <w:pPr>
              <w:keepNext/>
              <w:jc w:val="left"/>
            </w:pPr>
            <w:r>
              <w:rPr>
                <w:b w:val="false"/>
                <w:bCs w:val="false"/>
              </w:rPr>
              <w:t xml:space="preserve">ΔnDCG@10</w:t>
            </w:r>
          </w:p>
        </w:tc>
        <w:tc>
          <w:tcPr>
            <w:tcW w:type="dxa" w:w="1003"/>
            <w:tcBorders>
              <w:top w:val="single" w:color="000000" w:sz="8"/>
              <w:left w:val="none" w:color="FFFFFF" w:sz="0"/>
              <w:bottom w:val="single" w:color="000000" w:sz="8"/>
              <w:right w:val="none" w:color="FFFFFF" w:sz="0"/>
            </w:tcBorders>
            <w:tcMar>
              <w:top w:type="dxa" w:w="40"/>
              <w:left w:type="dxa" w:w="80"/>
              <w:bottom w:type="dxa" w:w="40"/>
              <w:right w:type="dxa" w:w="80"/>
            </w:tcMar>
          </w:tcPr>
          <w:p>
            <w:pPr>
              <w:keepNext/>
              <w:jc w:val="left"/>
            </w:pPr>
            <w:r>
              <w:rPr>
                <w:b w:val="false"/>
                <w:bCs w:val="false"/>
              </w:rPr>
              <w:t xml:space="preserve">p</w:t>
            </w:r>
          </w:p>
        </w:tc>
        <w:tc>
          <w:tcPr>
            <w:tcW w:type="dxa" w:w="1404"/>
            <w:tcBorders>
              <w:top w:val="single" w:color="000000" w:sz="8"/>
              <w:left w:val="none" w:color="FFFFFF" w:sz="0"/>
              <w:bottom w:val="single" w:color="000000" w:sz="8"/>
              <w:right w:val="none" w:color="FFFFFF" w:sz="0"/>
            </w:tcBorders>
            <w:tcMar>
              <w:top w:type="dxa" w:w="40"/>
              <w:left w:type="dxa" w:w="80"/>
              <w:bottom w:type="dxa" w:w="40"/>
              <w:right w:type="dxa" w:w="80"/>
            </w:tcMar>
          </w:tcPr>
          <w:p>
            <w:pPr>
              <w:keepNext/>
              <w:jc w:val="left"/>
            </w:pPr>
            <w:r>
              <w:rPr>
                <w:b w:val="false"/>
                <w:bCs w:val="false"/>
              </w:rPr>
              <w:t xml:space="preserve">W/T/L (MAP)</w:t>
            </w:r>
          </w:p>
        </w:tc>
      </w:tr>
      <w:tr>
        <w:trPr>
          <w:cantSplit/>
        </w:trPr>
        <w:tc>
          <w:tcPr>
            <w:tcW w:type="dxa" w:w="3410"/>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left"/>
            </w:pPr>
            <w:r>
              <w:rPr>
                <w:b w:val="false"/>
                <w:bCs w:val="false"/>
              </w:rPr>
              <w:t xml:space="preserve">Boolean (AND)</w:t>
            </w:r>
          </w:p>
        </w:tc>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left"/>
            </w:pPr>
            <w:r>
              <w:rPr>
                <w:b w:val="false"/>
                <w:bCs w:val="false"/>
              </w:rPr>
              <w:t xml:space="preserve">-0.021</w:t>
            </w:r>
          </w:p>
        </w:tc>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left"/>
            </w:pPr>
            <w:r>
              <w:rPr>
                <w:b w:val="false"/>
                <w:bCs w:val="false"/>
              </w:rPr>
              <w:t xml:space="preserve">.168</w:t>
            </w:r>
          </w:p>
        </w:tc>
        <w:tc>
          <w:tcPr>
            <w:tcW w:type="dxa" w:w="1203"/>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left"/>
            </w:pPr>
            <w:r>
              <w:rPr>
                <w:b w:val="false"/>
                <w:bCs w:val="false"/>
              </w:rPr>
              <w:t xml:space="preserve">-0.033</w:t>
            </w:r>
          </w:p>
        </w:tc>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left"/>
            </w:pPr>
            <w:r>
              <w:rPr>
                <w:b w:val="false"/>
                <w:bCs w:val="false"/>
              </w:rPr>
              <w:t xml:space="preserve">.009*</w:t>
            </w:r>
          </w:p>
        </w:tc>
        <w:tc>
          <w:tcPr>
            <w:tcW w:type="dxa" w:w="1404"/>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left"/>
            </w:pPr>
            <w:r>
              <w:rPr>
                <w:b w:val="false"/>
                <w:bCs w:val="false"/>
              </w:rPr>
              <w:t xml:space="preserve">175/176/110</w:t>
            </w:r>
          </w:p>
        </w:tc>
      </w:tr>
      <w:tr>
        <w:trPr>
          <w:cantSplit/>
        </w:trPr>
        <w:tc>
          <w:tcPr>
            <w:tcW w:type="dxa" w:w="3410"/>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left"/>
            </w:pPr>
            <w:r>
              <w:rPr>
                <w:b w:val="false"/>
                <w:bCs w:val="false"/>
              </w:rPr>
              <w:t xml:space="preserve">TF-IDF</w:t>
            </w:r>
          </w:p>
        </w:tc>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left"/>
            </w:pPr>
            <w:r>
              <w:rPr>
                <w:b w:val="false"/>
                <w:bCs w:val="false"/>
              </w:rPr>
              <w:t xml:space="preserve">+0.008</w:t>
            </w:r>
          </w:p>
        </w:tc>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left"/>
            </w:pPr>
            <w:r>
              <w:rPr>
                <w:b w:val="false"/>
                <w:bCs w:val="false"/>
              </w:rPr>
              <w:t xml:space="preserve">.207</w:t>
            </w:r>
          </w:p>
        </w:tc>
        <w:tc>
          <w:tcPr>
            <w:tcW w:type="dxa" w:w="1203"/>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left"/>
            </w:pPr>
            <w:r>
              <w:rPr>
                <w:b w:val="false"/>
                <w:bCs w:val="false"/>
              </w:rPr>
              <w:t xml:space="preserve">-0.009</w:t>
            </w:r>
          </w:p>
        </w:tc>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left"/>
            </w:pPr>
            <w:r>
              <w:rPr>
                <w:b w:val="false"/>
                <w:bCs w:val="false"/>
              </w:rPr>
              <w:t xml:space="preserve">.111</w:t>
            </w:r>
          </w:p>
        </w:tc>
        <w:tc>
          <w:tcPr>
            <w:tcW w:type="dxa" w:w="1404"/>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left"/>
            </w:pPr>
            <w:r>
              <w:rPr>
                <w:b w:val="false"/>
                <w:bCs w:val="false"/>
              </w:rPr>
              <w:t xml:space="preserve">114/291/56</w:t>
            </w:r>
          </w:p>
        </w:tc>
      </w:tr>
      <w:tr>
        <w:trPr>
          <w:cantSplit/>
        </w:trPr>
        <w:tc>
          <w:tcPr>
            <w:tcW w:type="dxa" w:w="3410"/>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left"/>
            </w:pPr>
            <w:r>
              <w:rPr>
                <w:b w:val="false"/>
                <w:bCs w:val="false"/>
              </w:rPr>
              <w:t xml:space="preserve">TF-IDF + expansion</w:t>
            </w:r>
          </w:p>
        </w:tc>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left"/>
            </w:pPr>
            <w:r>
              <w:rPr>
                <w:b w:val="false"/>
                <w:bCs w:val="false"/>
              </w:rPr>
              <w:t xml:space="preserve">+0.146</w:t>
            </w:r>
          </w:p>
        </w:tc>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left"/>
            </w:pPr>
            <w:r>
              <w:rPr>
                <w:b w:val="false"/>
                <w:bCs w:val="false"/>
              </w:rPr>
              <w:t xml:space="preserve">&lt; .001*</w:t>
            </w:r>
          </w:p>
        </w:tc>
        <w:tc>
          <w:tcPr>
            <w:tcW w:type="dxa" w:w="1203"/>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left"/>
            </w:pPr>
            <w:r>
              <w:rPr>
                <w:b w:val="false"/>
                <w:bCs w:val="false"/>
              </w:rPr>
              <w:t xml:space="preserve">+0.122</w:t>
            </w:r>
          </w:p>
        </w:tc>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left"/>
            </w:pPr>
            <w:r>
              <w:rPr>
                <w:b w:val="false"/>
                <w:bCs w:val="false"/>
              </w:rPr>
              <w:t xml:space="preserve">&lt; .001*</w:t>
            </w:r>
          </w:p>
        </w:tc>
        <w:tc>
          <w:tcPr>
            <w:tcW w:type="dxa" w:w="1404"/>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left"/>
            </w:pPr>
            <w:r>
              <w:rPr>
                <w:b w:val="false"/>
                <w:bCs w:val="false"/>
              </w:rPr>
              <w:t xml:space="preserve">173/211/77</w:t>
            </w:r>
          </w:p>
        </w:tc>
      </w:tr>
      <w:tr>
        <w:trPr>
          <w:cantSplit/>
        </w:trPr>
        <w:tc>
          <w:tcPr>
            <w:tcW w:type="dxa" w:w="3410"/>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left"/>
            </w:pPr>
            <w:r>
              <w:rPr>
                <w:b w:val="false"/>
                <w:bCs w:val="false"/>
              </w:rPr>
              <w:t xml:space="preserve">BM25F + expansion</w:t>
            </w:r>
          </w:p>
        </w:tc>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left"/>
            </w:pPr>
            <w:r>
              <w:rPr>
                <w:b w:val="false"/>
                <w:bCs w:val="false"/>
              </w:rPr>
              <w:t xml:space="preserve">+0.160</w:t>
            </w:r>
          </w:p>
        </w:tc>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left"/>
            </w:pPr>
            <w:r>
              <w:rPr>
                <w:b w:val="false"/>
                <w:bCs w:val="false"/>
              </w:rPr>
              <w:t xml:space="preserve">&lt; .001*</w:t>
            </w:r>
          </w:p>
        </w:tc>
        <w:tc>
          <w:tcPr>
            <w:tcW w:type="dxa" w:w="1203"/>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left"/>
            </w:pPr>
            <w:r>
              <w:rPr>
                <w:b w:val="false"/>
                <w:bCs w:val="false"/>
              </w:rPr>
              <w:t xml:space="preserve">+0.147</w:t>
            </w:r>
          </w:p>
        </w:tc>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left"/>
            </w:pPr>
            <w:r>
              <w:rPr>
                <w:b w:val="false"/>
                <w:bCs w:val="false"/>
              </w:rPr>
              <w:t xml:space="preserve">&lt; .001*</w:t>
            </w:r>
          </w:p>
        </w:tc>
        <w:tc>
          <w:tcPr>
            <w:tcW w:type="dxa" w:w="1404"/>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left"/>
            </w:pPr>
            <w:r>
              <w:rPr>
                <w:b w:val="false"/>
                <w:bCs w:val="false"/>
              </w:rPr>
              <w:t xml:space="preserve">112/320/29</w:t>
            </w:r>
          </w:p>
        </w:tc>
      </w:tr>
      <w:tr>
        <w:trPr>
          <w:cantSplit/>
        </w:trPr>
        <w:tc>
          <w:tcPr>
            <w:tcW w:type="dxa" w:w="3410"/>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left"/>
            </w:pPr>
            <w:r>
              <w:rPr>
                <w:b w:val="false"/>
                <w:bCs w:val="false"/>
              </w:rPr>
              <w:t xml:space="preserve">Hybrid RRF + expansion</w:t>
            </w:r>
          </w:p>
        </w:tc>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left"/>
            </w:pPr>
            <w:r>
              <w:rPr>
                <w:b w:val="false"/>
                <w:bCs w:val="false"/>
              </w:rPr>
              <w:t xml:space="preserve">+0.168</w:t>
            </w:r>
          </w:p>
        </w:tc>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left"/>
            </w:pPr>
            <w:r>
              <w:rPr>
                <w:b w:val="false"/>
                <w:bCs w:val="false"/>
              </w:rPr>
              <w:t xml:space="preserve">&lt; .001*</w:t>
            </w:r>
          </w:p>
        </w:tc>
        <w:tc>
          <w:tcPr>
            <w:tcW w:type="dxa" w:w="1203"/>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left"/>
            </w:pPr>
            <w:r>
              <w:rPr>
                <w:b w:val="false"/>
                <w:bCs w:val="false"/>
              </w:rPr>
              <w:t xml:space="preserve">+0.145</w:t>
            </w:r>
          </w:p>
        </w:tc>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left"/>
            </w:pPr>
            <w:r>
              <w:rPr>
                <w:b w:val="false"/>
                <w:bCs w:val="false"/>
              </w:rPr>
              <w:t xml:space="preserve">&lt; .001*</w:t>
            </w:r>
          </w:p>
        </w:tc>
        <w:tc>
          <w:tcPr>
            <w:tcW w:type="dxa" w:w="1404"/>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left"/>
            </w:pPr>
            <w:r>
              <w:rPr>
                <w:b w:val="false"/>
                <w:bCs w:val="false"/>
              </w:rPr>
              <w:t xml:space="preserve">200/207/54</w:t>
            </w:r>
          </w:p>
        </w:tc>
      </w:tr>
      <w:tr>
        <w:trPr>
          <w:cantSplit/>
        </w:trPr>
        <w:tc>
          <w:tcPr>
            <w:tcW w:type="dxa" w:w="3410"/>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left"/>
            </w:pPr>
            <w:r>
              <w:rPr>
                <w:b w:val="false"/>
                <w:bCs w:val="false"/>
              </w:rPr>
              <w:t xml:space="preserve">BM25F + expansion, no segmentation</w:t>
            </w:r>
          </w:p>
        </w:tc>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left"/>
            </w:pPr>
            <w:r>
              <w:rPr>
                <w:b w:val="false"/>
                <w:bCs w:val="false"/>
              </w:rPr>
              <w:t xml:space="preserve">+0.009</w:t>
            </w:r>
          </w:p>
        </w:tc>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left"/>
            </w:pPr>
            <w:r>
              <w:rPr>
                <w:b w:val="false"/>
                <w:bCs w:val="false"/>
              </w:rPr>
              <w:t xml:space="preserve">.745</w:t>
            </w:r>
          </w:p>
        </w:tc>
        <w:tc>
          <w:tcPr>
            <w:tcW w:type="dxa" w:w="1203"/>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left"/>
            </w:pPr>
            <w:r>
              <w:rPr>
                <w:b w:val="false"/>
                <w:bCs w:val="false"/>
              </w:rPr>
              <w:t xml:space="preserve">-0.026</w:t>
            </w:r>
          </w:p>
        </w:tc>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left"/>
            </w:pPr>
            <w:r>
              <w:rPr>
                <w:b w:val="false"/>
                <w:bCs w:val="false"/>
              </w:rPr>
              <w:t xml:space="preserve">.329</w:t>
            </w:r>
          </w:p>
        </w:tc>
        <w:tc>
          <w:tcPr>
            <w:tcW w:type="dxa" w:w="1404"/>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left"/>
            </w:pPr>
            <w:r>
              <w:rPr>
                <w:b w:val="false"/>
                <w:bCs w:val="false"/>
              </w:rPr>
              <w:t xml:space="preserve">152/206/103</w:t>
            </w:r>
          </w:p>
        </w:tc>
      </w:tr>
      <w:tr>
        <w:trPr>
          <w:cantSplit/>
        </w:trPr>
        <w:tc>
          <w:tcPr>
            <w:tcW w:type="dxa" w:w="3410"/>
            <w:tcBorders>
              <w:top w:val="none" w:color="FFFFFF" w:sz="0"/>
              <w:left w:val="none" w:color="FFFFFF" w:sz="0"/>
              <w:bottom w:val="single" w:color="000000" w:sz="8"/>
              <w:right w:val="none" w:color="FFFFFF" w:sz="0"/>
            </w:tcBorders>
            <w:tcMar>
              <w:top w:type="dxa" w:w="40"/>
              <w:left w:type="dxa" w:w="80"/>
              <w:bottom w:type="dxa" w:w="40"/>
              <w:right w:type="dxa" w:w="80"/>
            </w:tcMar>
          </w:tcPr>
          <w:p>
            <w:pPr>
              <w:keepNext/>
              <w:jc w:val="left"/>
            </w:pPr>
            <w:r>
              <w:rPr>
                <w:b w:val="false"/>
                <w:bCs w:val="false"/>
              </w:rPr>
              <w:t xml:space="preserve">BM25F + expansion, tuned</w:t>
            </w:r>
          </w:p>
        </w:tc>
        <w:tc>
          <w:tcPr>
            <w:tcW w:type="dxa" w:w="1003"/>
            <w:tcBorders>
              <w:top w:val="none" w:color="FFFFFF" w:sz="0"/>
              <w:left w:val="none" w:color="FFFFFF" w:sz="0"/>
              <w:bottom w:val="single" w:color="000000" w:sz="8"/>
              <w:right w:val="none" w:color="FFFFFF" w:sz="0"/>
            </w:tcBorders>
            <w:tcMar>
              <w:top w:type="dxa" w:w="40"/>
              <w:left w:type="dxa" w:w="80"/>
              <w:bottom w:type="dxa" w:w="40"/>
              <w:right w:type="dxa" w:w="80"/>
            </w:tcMar>
          </w:tcPr>
          <w:p>
            <w:pPr>
              <w:keepNext/>
              <w:jc w:val="left"/>
            </w:pPr>
            <w:r>
              <w:rPr>
                <w:b w:val="false"/>
                <w:bCs w:val="false"/>
              </w:rPr>
              <w:t xml:space="preserve">+0.221</w:t>
            </w:r>
          </w:p>
        </w:tc>
        <w:tc>
          <w:tcPr>
            <w:tcW w:type="dxa" w:w="1003"/>
            <w:tcBorders>
              <w:top w:val="none" w:color="FFFFFF" w:sz="0"/>
              <w:left w:val="none" w:color="FFFFFF" w:sz="0"/>
              <w:bottom w:val="single" w:color="000000" w:sz="8"/>
              <w:right w:val="none" w:color="FFFFFF" w:sz="0"/>
            </w:tcBorders>
            <w:tcMar>
              <w:top w:type="dxa" w:w="40"/>
              <w:left w:type="dxa" w:w="80"/>
              <w:bottom w:type="dxa" w:w="40"/>
              <w:right w:type="dxa" w:w="80"/>
            </w:tcMar>
          </w:tcPr>
          <w:p>
            <w:pPr>
              <w:keepNext/>
              <w:jc w:val="left"/>
            </w:pPr>
            <w:r>
              <w:rPr>
                <w:b w:val="false"/>
                <w:bCs w:val="false"/>
              </w:rPr>
              <w:t xml:space="preserve">&lt; .001*</w:t>
            </w:r>
          </w:p>
        </w:tc>
        <w:tc>
          <w:tcPr>
            <w:tcW w:type="dxa" w:w="1203"/>
            <w:tcBorders>
              <w:top w:val="none" w:color="FFFFFF" w:sz="0"/>
              <w:left w:val="none" w:color="FFFFFF" w:sz="0"/>
              <w:bottom w:val="single" w:color="000000" w:sz="8"/>
              <w:right w:val="none" w:color="FFFFFF" w:sz="0"/>
            </w:tcBorders>
            <w:tcMar>
              <w:top w:type="dxa" w:w="40"/>
              <w:left w:type="dxa" w:w="80"/>
              <w:bottom w:type="dxa" w:w="40"/>
              <w:right w:type="dxa" w:w="80"/>
            </w:tcMar>
          </w:tcPr>
          <w:p>
            <w:pPr>
              <w:keepNext/>
              <w:jc w:val="left"/>
            </w:pPr>
            <w:r>
              <w:rPr>
                <w:b w:val="false"/>
                <w:bCs w:val="false"/>
              </w:rPr>
              <w:t xml:space="preserve">+0.199</w:t>
            </w:r>
          </w:p>
        </w:tc>
        <w:tc>
          <w:tcPr>
            <w:tcW w:type="dxa" w:w="1003"/>
            <w:tcBorders>
              <w:top w:val="none" w:color="FFFFFF" w:sz="0"/>
              <w:left w:val="none" w:color="FFFFFF" w:sz="0"/>
              <w:bottom w:val="single" w:color="000000" w:sz="8"/>
              <w:right w:val="none" w:color="FFFFFF" w:sz="0"/>
            </w:tcBorders>
            <w:tcMar>
              <w:top w:type="dxa" w:w="40"/>
              <w:left w:type="dxa" w:w="80"/>
              <w:bottom w:type="dxa" w:w="40"/>
              <w:right w:type="dxa" w:w="80"/>
            </w:tcMar>
          </w:tcPr>
          <w:p>
            <w:pPr>
              <w:keepNext/>
              <w:jc w:val="left"/>
            </w:pPr>
            <w:r>
              <w:rPr>
                <w:b w:val="false"/>
                <w:bCs w:val="false"/>
              </w:rPr>
              <w:t xml:space="preserve">&lt; .001*</w:t>
            </w:r>
          </w:p>
        </w:tc>
        <w:tc>
          <w:tcPr>
            <w:tcW w:type="dxa" w:w="1404"/>
            <w:tcBorders>
              <w:top w:val="none" w:color="FFFFFF" w:sz="0"/>
              <w:left w:val="none" w:color="FFFFFF" w:sz="0"/>
              <w:bottom w:val="single" w:color="000000" w:sz="8"/>
              <w:right w:val="none" w:color="FFFFFF" w:sz="0"/>
            </w:tcBorders>
            <w:tcMar>
              <w:top w:type="dxa" w:w="40"/>
              <w:left w:type="dxa" w:w="80"/>
              <w:bottom w:type="dxa" w:w="40"/>
              <w:right w:type="dxa" w:w="80"/>
            </w:tcMar>
          </w:tcPr>
          <w:p>
            <w:pPr>
              <w:keepNext/>
              <w:jc w:val="left"/>
            </w:pPr>
            <w:r>
              <w:rPr>
                <w:b w:val="false"/>
                <w:bCs w:val="false"/>
              </w:rPr>
              <w:t xml:space="preserve">233/212/16</w:t>
            </w:r>
          </w:p>
        </w:tc>
      </w:tr>
    </w:tbl>
    <w:p>
      <w:pPr>
        <w:spacing w:before="60" w:line="480"/>
      </w:pPr>
      <w:r>
        <w:rPr>
          <w:i/>
          <w:iCs/>
        </w:rPr>
        <w:t xml:space="preserve">Note. </w:t>
      </w:r>
      <w:r>
        <w:t xml:space="preserve">Δ = difference in the mean. W/T/L = queries where the run was better, equal or worse. * p &lt; .05 (two-sided, 10,000 permutations).</w:t>
      </w:r>
    </w:p>
    <w:p>
      <w:pPr>
        <w:spacing w:line="480"/>
      </w:pPr>
    </w:p>
    <w:p>
      <w:pPr>
        <w:keepNext/>
        <w:spacing w:before="240" w:line="480"/>
      </w:pPr>
      <w:r>
        <w:rPr>
          <w:b/>
          <w:bCs/>
        </w:rPr>
        <w:t xml:space="preserve">Figure 14</w:t>
      </w:r>
    </w:p>
    <w:p>
      <w:pPr>
        <w:keepNext/>
        <w:spacing w:line="480"/>
      </w:pPr>
      <w:r>
        <w:rPr>
          <w:i/>
          <w:iCs/>
        </w:rPr>
        <w:t xml:space="preserve">Significance Tests (Program Output)</w:t>
      </w:r>
    </w:p>
    <w:p>
      <w:pPr>
        <w:spacing w:after="240"/>
        <w:jc w:val="center"/>
      </w:pPr>
      <w:r>
        <w:drawing>
          <wp:inline distT="0" distB="0" distL="0" distR="0">
            <wp:extent cx="5619750" cy="4267200"/>
            <wp:effectExtent t="0" r="0" b="0" l="0"/>
            <wp:docPr id="14" name="w7_run_e3" descr="Significance Tests (Program Output)" title="Significance Tests (Program 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619750" cy="4267200"/>
                    </a:xfrm>
                    <a:prstGeom prst="rect">
                      <a:avLst/>
                    </a:prstGeom>
                  </pic:spPr>
                </pic:pic>
              </a:graphicData>
            </a:graphic>
          </wp:inline>
        </w:drawing>
      </w:r>
    </w:p>
    <w:p>
      <w:pPr>
        <w:spacing w:after="0" w:before="0" w:line="480"/>
        <w:ind w:firstLine="720"/>
      </w:pPr>
      <w:r>
        <w:t xml:space="preserve">All runs with query expansion are significantly better than the baseline (p &lt; .001 for both MAP and nDCG@10). The differences between TF-IDF and BM25F without expansion (ΔMAP 0.008, p = .207) and the effect of removing segmentation on MAP (p = .745) are not significant: they could be due to chance. The win/tie/loss counts show why averages can hide detail: removing segmentation makes 152 queries better and 103 worse, which cancel out on average, but it destroys the website-name queries (T6 MAP 0.020).</w:t>
      </w:r>
    </w:p>
    <w:p>
      <w:pPr>
        <w:pStyle w:val="Heading2"/>
      </w:pPr>
      <w:r>
        <w:t xml:space="preserve">Tuning BM25 (E4)</w:t>
      </w:r>
    </w:p>
    <w:p>
      <w:pPr>
        <w:keepNext/>
        <w:spacing w:before="240" w:line="480"/>
      </w:pPr>
      <w:r>
        <w:rPr>
          <w:b/>
          <w:bCs/>
        </w:rPr>
        <w:t xml:space="preserve">Figure 15</w:t>
      </w:r>
    </w:p>
    <w:p>
      <w:pPr>
        <w:keepNext/>
        <w:spacing w:line="480"/>
      </w:pPr>
      <w:r>
        <w:rPr>
          <w:i/>
          <w:iCs/>
        </w:rPr>
        <w:t xml:space="preserve">MAP on the Development Queries for Each k1 and b</w:t>
      </w:r>
    </w:p>
    <w:p>
      <w:pPr>
        <w:spacing w:after="240"/>
        <w:jc w:val="center"/>
      </w:pPr>
      <w:r>
        <w:drawing>
          <wp:inline distT="0" distB="0" distL="0" distR="0">
            <wp:extent cx="5619750" cy="3981450"/>
            <wp:effectExtent t="0" r="0" b="0" l="0"/>
            <wp:docPr id="15" name="w7_chart_tuning" descr="MAP on the Development Queries for Each k1 and b" title="MAP on the Development Queries for Each k1 and 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619750" cy="3981450"/>
                    </a:xfrm>
                    <a:prstGeom prst="rect">
                      <a:avLst/>
                    </a:prstGeom>
                  </pic:spPr>
                </pic:pic>
              </a:graphicData>
            </a:graphic>
          </wp:inline>
        </w:drawing>
      </w:r>
    </w:p>
    <w:p>
      <w:pPr>
        <w:keepNext/>
        <w:spacing w:before="240" w:line="480"/>
      </w:pPr>
      <w:r>
        <w:rPr>
          <w:b/>
          <w:bCs/>
        </w:rPr>
        <w:t xml:space="preserve">Figure 16</w:t>
      </w:r>
    </w:p>
    <w:p>
      <w:pPr>
        <w:keepNext/>
        <w:spacing w:line="480"/>
      </w:pPr>
      <w:r>
        <w:rPr>
          <w:i/>
          <w:iCs/>
        </w:rPr>
        <w:t xml:space="preserve">Tuning Result on the Held-Out Test Queries (Program Output)</w:t>
      </w:r>
    </w:p>
    <w:p>
      <w:pPr>
        <w:spacing w:after="240"/>
        <w:jc w:val="center"/>
      </w:pPr>
      <w:r>
        <w:drawing>
          <wp:inline distT="0" distB="0" distL="0" distR="0">
            <wp:extent cx="5619750" cy="3552825"/>
            <wp:effectExtent t="0" r="0" b="0" l="0"/>
            <wp:docPr id="16" name="w7_run_e4" descr="Tuning Result on the Held-Out Test Queries (Program Output)" title="Tuning Result on the Held-Out Test Queries (Program 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619750" cy="3552825"/>
                    </a:xfrm>
                    <a:prstGeom prst="rect">
                      <a:avLst/>
                    </a:prstGeom>
                  </pic:spPr>
                </pic:pic>
              </a:graphicData>
            </a:graphic>
          </wp:inline>
        </w:drawing>
      </w:r>
    </w:p>
    <w:p>
      <w:pPr>
        <w:spacing w:after="0" w:before="0" w:line="480"/>
        <w:ind w:firstLine="720"/>
      </w:pPr>
      <w:r>
        <w:t xml:space="preserve">The grid (Figure 15) shows that lower values of both parameters are better for this collection. The best setting, k1 = 0.5 and b = 0.25, gave a development MAP of 0.875 against 0.812 for the usual defaults (k1 = 1.2, b = 0.75). On the 229 test queries, which were not used for tuning, MAP rose from 0.794 to 0.854 and nDCG@10 from 0.833 to 0.884; the tuned run was better on 69 test queries and worse on only 1 (p &lt; .001). So the gain is real and not the result of tuning on the test data.</w:t>
      </w:r>
    </w:p>
    <w:p>
      <w:pPr>
        <w:spacing w:after="0" w:before="0" w:line="480"/>
        <w:ind w:firstLine="720"/>
      </w:pPr>
      <w:r>
        <w:t xml:space="preserve">The reason is the shape of the documents. They are short, and a word such as a district name rarely appears more than once in a field, so a low k1 (fast saturation) loses little. A low b reduces the penalty for longer fields. With b = 0.75, the long body field of a local government’s document (type, wards, web address) was penalised, and short websites named after a district, such as kaskinews.com, were ranked above the local governments the user asked for. With b = 0.25 this bias largely disappears.</w:t>
      </w:r>
    </w:p>
    <w:p>
      <w:pPr>
        <w:pStyle w:val="Heading2"/>
      </w:pPr>
      <w:r>
        <w:t xml:space="preserve">Per-Query Analysis and Failures (E6)</w:t>
      </w:r>
    </w:p>
    <w:p>
      <w:pPr>
        <w:keepNext/>
        <w:spacing w:before="240" w:line="480"/>
      </w:pPr>
      <w:r>
        <w:rPr>
          <w:b/>
          <w:bCs/>
        </w:rPr>
        <w:t xml:space="preserve">Figure 17</w:t>
      </w:r>
    </w:p>
    <w:p>
      <w:pPr>
        <w:keepNext/>
        <w:spacing w:line="480"/>
      </w:pPr>
      <w:r>
        <w:rPr>
          <w:i/>
          <w:iCs/>
        </w:rPr>
        <w:t xml:space="preserve">Distribution of Average Precision per Query</w:t>
      </w:r>
    </w:p>
    <w:p>
      <w:pPr>
        <w:spacing w:after="240"/>
        <w:jc w:val="center"/>
      </w:pPr>
      <w:r>
        <w:drawing>
          <wp:inline distT="0" distB="0" distL="0" distR="0">
            <wp:extent cx="5619750" cy="2247900"/>
            <wp:effectExtent t="0" r="0" b="0" l="0"/>
            <wp:docPr id="17" name="w7_chart_ap_box" descr="Distribution of Average Precision per Query" title="Distribution of Average Precision per Qu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619750" cy="2247900"/>
                    </a:xfrm>
                    <a:prstGeom prst="rect">
                      <a:avLst/>
                    </a:prstGeom>
                  </pic:spPr>
                </pic:pic>
              </a:graphicData>
            </a:graphic>
          </wp:inline>
        </w:drawing>
      </w:r>
    </w:p>
    <w:p>
      <w:pPr>
        <w:spacing w:after="0" w:before="0" w:line="480"/>
        <w:ind w:firstLine="720"/>
      </w:pPr>
      <w:r>
        <w:t xml:space="preserve">The box plots (Figure 17) show that the results are bimodal: most queries have AP close to 1 and a minority have AP of 0, with little in between. MAP is therefore mostly decided by how many queries fail completely. Without expansion, BM25F fails on 92 queries; with expansion the number drops to 25; without segmentation it rises to 122.</w:t>
      </w:r>
    </w:p>
    <w:p>
      <w:pPr>
        <w:keepNext/>
        <w:spacing w:before="240" w:line="480"/>
      </w:pPr>
      <w:r>
        <w:rPr>
          <w:b/>
          <w:bCs/>
        </w:rPr>
        <w:t xml:space="preserve">Figure 18</w:t>
      </w:r>
    </w:p>
    <w:p>
      <w:pPr>
        <w:keepNext/>
        <w:spacing w:line="480"/>
      </w:pPr>
      <w:r>
        <w:rPr>
          <w:i/>
          <w:iCs/>
        </w:rPr>
        <w:t xml:space="preserve">The Worst Queries of the Best Run (Program Output)</w:t>
      </w:r>
    </w:p>
    <w:p>
      <w:pPr>
        <w:spacing w:after="240"/>
        <w:jc w:val="center"/>
      </w:pPr>
      <w:r>
        <w:drawing>
          <wp:inline distT="0" distB="0" distL="0" distR="0">
            <wp:extent cx="5619750" cy="6057900"/>
            <wp:effectExtent t="0" r="0" b="0" l="0"/>
            <wp:docPr id="18" name="w7_run_e6" descr="The Worst Queries of the Best Run (Program Output)" title="The Worst Queries of the Best Run (Program 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619750" cy="6057900"/>
                    </a:xfrm>
                    <a:prstGeom prst="rect">
                      <a:avLst/>
                    </a:prstGeom>
                  </pic:spPr>
                </pic:pic>
              </a:graphicData>
            </a:graphic>
          </wp:inline>
        </w:drawing>
      </w:r>
    </w:p>
    <w:p>
      <w:pPr>
        <w:spacing w:after="0" w:before="0" w:line="480"/>
        <w:ind w:firstLine="720"/>
      </w:pPr>
      <w:r>
        <w:t xml:space="preserve">Two causes explain most remaining failures (Figure 18). First, all 25 complete failures of the best run are misspelt names, and they are all very short (for example “Baru” for Barju, “Bei” for Beni and “Sirha” for Siraha, all names of four to six letters). Removing one letter from a short word changes most of its character trigrams, so the trigram similarity falls below the 0.4 threshold and no correction is found. An edit-distance check for short words would fix many of these. Second, among the other queries the worst are website names that contain “news”, such as “lumbini news”: the word list translates news into samachar and khabar, so lumbinisamachar.com is ranked above lumbininews.com. Expansion should be weaker, or switched off, when the query looks like a website name.</w:t>
      </w:r>
    </w:p>
    <w:p>
      <w:pPr>
        <w:pStyle w:val="Heading2"/>
      </w:pPr>
      <w:r>
        <w:t xml:space="preserve">Efficiency (E7)</w:t>
      </w:r>
    </w:p>
    <w:p>
      <w:pPr>
        <w:keepNext/>
        <w:spacing w:before="240" w:line="480"/>
      </w:pPr>
      <w:r>
        <w:rPr>
          <w:b/>
          <w:bCs/>
        </w:rPr>
        <w:t xml:space="preserve">Figure 19</w:t>
      </w:r>
    </w:p>
    <w:p>
      <w:pPr>
        <w:keepNext/>
        <w:spacing w:line="480"/>
      </w:pPr>
      <w:r>
        <w:rPr>
          <w:i/>
          <w:iCs/>
        </w:rPr>
        <w:t xml:space="preserve">Query Latency in Milliseconds (Program Output)</w:t>
      </w:r>
    </w:p>
    <w:p>
      <w:pPr>
        <w:spacing w:after="240"/>
        <w:jc w:val="center"/>
      </w:pPr>
      <w:r>
        <w:drawing>
          <wp:inline distT="0" distB="0" distL="0" distR="0">
            <wp:extent cx="5619750" cy="3009900"/>
            <wp:effectExtent t="0" r="0" b="0" l="0"/>
            <wp:docPr id="19" name="w7_run_e7" descr="Query Latency in Milliseconds (Program Output)" title="Query Latency in Milliseconds (Program 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619750" cy="3009900"/>
                    </a:xfrm>
                    <a:prstGeom prst="rect">
                      <a:avLst/>
                    </a:prstGeom>
                  </pic:spPr>
                </pic:pic>
              </a:graphicData>
            </a:graphic>
          </wp:inline>
        </w:drawing>
      </w:r>
    </w:p>
    <w:p>
      <w:pPr>
        <w:spacing w:after="0" w:before="0" w:line="480"/>
        <w:ind w:firstLine="720"/>
      </w:pPr>
      <w:r>
        <w:t xml:space="preserve">All models are fast enough for interactive use on this collection. The median query takes under 2 ms; the slowest run, the hybrid, has a 95th percentile of 16.7 ms because it runs two models. Expansion roughly doubles the cost of a query because it adds terms, and the Boolean model is fastest (0.06 ms) because it only intersects posting lists. The whole Week 7 evaluation, including the 25-setting grid search, runs in about 34 seconds.</w:t>
      </w:r>
    </w:p>
    <w:p>
      <w:pPr>
        <w:pStyle w:val="Heading1"/>
      </w:pPr>
      <w:r>
        <w:t xml:space="preserve">Discussion</w:t>
      </w:r>
    </w:p>
    <w:p>
      <w:pPr>
        <w:spacing w:after="0" w:before="0" w:line="480"/>
        <w:ind w:firstLine="720"/>
      </w:pPr>
      <w:r>
        <w:t xml:space="preserve">Using several measures gave a much more complete picture than any single number. Precision@10 alone would suggest that the Boolean model is the best of the untuned runs, while MRR and S@1 show that it is the worst at putting the right answer first. MAP and nDCG@10 agree on the ranking of the runs, but nDCG also rewards placing partially relevant pages, such as the district’s own page, above unrelated documents. R@100 shows that once expansion is on, about 95% of relevant documents are retrieved somewhere in the top 100, so the remaining work is ranking rather than finding.</w:t>
      </w:r>
    </w:p>
    <w:p>
      <w:pPr>
        <w:spacing w:after="0" w:before="0" w:line="480"/>
        <w:ind w:firstLine="720"/>
      </w:pPr>
      <w:r>
        <w:t xml:space="preserve">The significance tests changed some conclusions from Week 6. Week 6 reported that TF-IDF had a slightly higher MAP than BM25F; this difference is not significant, so the two models should be considered equal on this collection. The effect of query expansion and of tuning, on the other hand, is large and highly significant.</w:t>
      </w:r>
    </w:p>
    <w:p>
      <w:pPr>
        <w:spacing w:after="0" w:before="0" w:line="480"/>
        <w:ind w:firstLine="720"/>
      </w:pPr>
      <w:r>
        <w:t xml:space="preserve">The evaluation has limitations. The relevance judgments come from the metadata and the queries follow templates, which favours models that match the template words exactly; this is why the Boolean model scores almost perfectly on T1 and T2. The parameters were tuned and tested on queries of the same kinds, so the tuned values may not carry over to real user queries. Finally, the documents are short, so these results describe name and place search more than full-text search of web pages.</w:t>
      </w:r>
    </w:p>
    <w:p>
      <w:pPr>
        <w:spacing w:after="0" w:before="0" w:line="480"/>
        <w:ind w:firstLine="720"/>
      </w:pPr>
      <w:r>
        <w:t xml:space="preserve">Based on the analysis, four improvements are recommended: use k1 ≈ 0.5 and b ≈ 0.25 for BM25 on this collection; add an edit-distance fallback for short misspelt words; reduce expansion weights for queries that look like website names; and collect real queries with human relevance judgments, ideally from the PGS search logs, to confirm these results.</w:t>
      </w:r>
    </w:p>
    <w:p>
      <w:pPr>
        <w:pStyle w:val="Heading1"/>
      </w:pPr>
      <w:r>
        <w:t xml:space="preserve">Conclusion</w:t>
      </w:r>
    </w:p>
    <w:p>
      <w:pPr>
        <w:spacing w:after="0" w:before="0" w:line="480"/>
        <w:ind w:firstLine="720"/>
      </w:pPr>
      <w:r>
        <w:t xml:space="preserve">I evaluated the retrieval models of PGS Mini Search with eleven measures, graded relevance judgments, precision-recall curves, significance tests, held-out parameter tuning, a failure analysis and an efficiency analysis. Query expansion was the most important component, improving MAP by 0.160 over the baseline (p &lt; .001). Tuning BM25 to k1 = 0.5 and b = 0.25 further improved MAP on unseen queries from 0.794 to 0.854, making the tuned BM25F run with expansion the best overall (MAP 0.865, nDCG@10 0.889). The remaining errors are well understood and point to clear next steps.</w:t>
      </w:r>
    </w:p>
    <w:p>
      <w:pPr>
        <w:pStyle w:val="Heading2"/>
      </w:pPr>
      <w:r>
        <w:t xml:space="preserve">Source Code</w:t>
      </w:r>
    </w:p>
    <w:p>
      <w:pPr>
        <w:spacing w:line="480"/>
        <w:ind w:firstLine="720"/>
      </w:pPr>
      <w:r>
        <w:t xml:space="preserve">The code is available on GitHub at </w:t>
      </w:r>
      <w:hyperlink w:history="1" r:id="rIdb6lzfkw5ytlhlzm-g_ezj">
        <w:r>
          <w:rPr>
            <w:rStyle w:val="Hyperlink"/>
          </w:rPr>
          <w:t xml:space="preserve">https://github.com/Prijesh77/pgs-ir-assignment</w:t>
        </w:r>
      </w:hyperlink>
      <w:r>
        <w:t xml:space="preserve">. The Week 7 code is in pgs_ir/metrics.py and pgs_ir/week7.py, the results in results/week7, and the evaluation is run with python -m pgs_ir week7.</w:t>
      </w:r>
    </w:p>
    <w:p>
      <w:pPr>
        <w:pStyle w:val="Heading1"/>
        <w:pageBreakBefore/>
      </w:pPr>
      <w:r>
        <w:t xml:space="preserve">References</w:t>
      </w:r>
    </w:p>
    <w:p>
      <w:pPr>
        <w:spacing w:line="480"/>
        <w:ind w:left="720" w:hanging="720"/>
      </w:pPr>
      <w:r>
        <w:rPr>
          <w:i w:val="false"/>
          <w:iCs w:val="false"/>
        </w:rPr>
        <w:t xml:space="preserve">Cormack, G. V., Clarke, C. L. A., &amp; Büttcher, S. (2009). Reciprocal rank fusion outperforms Condorcet and individual rank learning methods. In </w:t>
      </w:r>
      <w:r>
        <w:rPr>
          <w:i/>
          <w:iCs/>
        </w:rPr>
        <w:t xml:space="preserve">Proceedings of the 32nd International ACM SIGIR Conference on Research and Development in Information Retrieval</w:t>
      </w:r>
      <w:r>
        <w:rPr>
          <w:i w:val="false"/>
          <w:iCs w:val="false"/>
        </w:rPr>
        <w:t xml:space="preserve"> (pp. 758–759). ACM. https://doi.org/10.1145/1571941.1572114</w:t>
      </w:r>
    </w:p>
    <w:p>
      <w:pPr>
        <w:spacing w:line="480"/>
        <w:ind w:left="720" w:hanging="720"/>
      </w:pPr>
      <w:r>
        <w:rPr>
          <w:i w:val="false"/>
          <w:iCs w:val="false"/>
        </w:rPr>
        <w:t xml:space="preserve">Järvelin, K., &amp; Kekäläinen, J. (2002). Cumulated gain-based evaluation of IR techniques. </w:t>
      </w:r>
      <w:r>
        <w:rPr>
          <w:i/>
          <w:iCs/>
        </w:rPr>
        <w:t xml:space="preserve">ACM Transactions on Information Systems, 20</w:t>
      </w:r>
      <w:r>
        <w:rPr>
          <w:i w:val="false"/>
          <w:iCs w:val="false"/>
        </w:rPr>
        <w:t xml:space="preserve">(4), 422–446. https://doi.org/10.1145/582415.582418</w:t>
      </w:r>
    </w:p>
    <w:p>
      <w:pPr>
        <w:spacing w:line="480"/>
        <w:ind w:left="720" w:hanging="720"/>
      </w:pPr>
      <w:r>
        <w:rPr>
          <w:i w:val="false"/>
          <w:iCs w:val="false"/>
        </w:rPr>
        <w:t xml:space="preserve">Manning, C. D., Raghavan, P., &amp; Schütze, H. (2008). </w:t>
      </w:r>
      <w:r>
        <w:rPr>
          <w:i/>
          <w:iCs/>
        </w:rPr>
        <w:t xml:space="preserve">Introduction to information retrieval</w:t>
      </w:r>
      <w:r>
        <w:rPr>
          <w:i w:val="false"/>
          <w:iCs w:val="false"/>
        </w:rPr>
        <w:t xml:space="preserve">. Cambridge University Press.</w:t>
      </w:r>
    </w:p>
    <w:p>
      <w:pPr>
        <w:spacing w:line="480"/>
        <w:ind w:left="720" w:hanging="720"/>
      </w:pPr>
      <w:r>
        <w:rPr>
          <w:i w:val="false"/>
          <w:iCs w:val="false"/>
        </w:rPr>
        <w:t xml:space="preserve">Robertson, S., &amp; Zaragoza, H. (2009). The probabilistic relevance framework: BM25 and beyond. </w:t>
      </w:r>
      <w:r>
        <w:rPr>
          <w:i/>
          <w:iCs/>
        </w:rPr>
        <w:t xml:space="preserve">Foundations and Trends in Information Retrieval, 3</w:t>
      </w:r>
      <w:r>
        <w:rPr>
          <w:i w:val="false"/>
          <w:iCs w:val="false"/>
        </w:rPr>
        <w:t xml:space="preserve">(4), 333–389. https://doi.org/10.1561/1500000019</w:t>
      </w:r>
    </w:p>
    <w:p>
      <w:pPr>
        <w:spacing w:line="480"/>
        <w:ind w:left="720" w:hanging="720"/>
      </w:pPr>
      <w:r>
        <w:rPr>
          <w:i w:val="false"/>
          <w:iCs w:val="false"/>
        </w:rPr>
        <w:t xml:space="preserve">Smucker, M. D., Allan, J., &amp; Carterette, B. (2007). A comparison of statistical significance tests for information retrieval evaluation. In </w:t>
      </w:r>
      <w:r>
        <w:rPr>
          <w:i/>
          <w:iCs/>
        </w:rPr>
        <w:t xml:space="preserve">Proceedings of the Sixteenth ACM Conference on Information and Knowledge Management</w:t>
      </w:r>
      <w:r>
        <w:rPr>
          <w:i w:val="false"/>
          <w:iCs w:val="false"/>
        </w:rPr>
        <w:t xml:space="preserve"> (pp. 623–632). ACM. https://doi.org/10.1145/1321440.1321528</w:t>
      </w:r>
    </w:p>
    <w:p>
      <w:pPr>
        <w:spacing w:line="480"/>
        <w:ind w:left="720" w:hanging="720"/>
      </w:pPr>
      <w:r>
        <w:rPr>
          <w:i w:val="false"/>
          <w:iCs w:val="false"/>
        </w:rPr>
        <w:t xml:space="preserve">tekraj. (2026). </w:t>
      </w:r>
      <w:r>
        <w:rPr>
          <w:i/>
          <w:iCs/>
        </w:rPr>
        <w:t xml:space="preserve">pgs-search-engine</w:t>
      </w:r>
      <w:r>
        <w:rPr>
          <w:i w:val="false"/>
          <w:iCs w:val="false"/>
        </w:rPr>
        <w:t xml:space="preserve"> [Computer software]. GitHub. https://github.com/tekraj/pgs-search-engine</w:t>
      </w:r>
    </w:p>
    <w:sectPr>
      <w:headerReference w:type="default" r:id="rId6"/>
      <w:pgSz w:w="11906" w:h="16838" w:orient="portrait"/>
      <w:pgMar w:top="1440" w:right="1440" w:bottom="1440" w:left="1440" w:header="720"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1080" w:hanging="360"/>
      </w:pPr>
    </w:lvl>
  </w:abstractNum>
  <w:abstractNum w:abstractNumId="3" w15:restartNumberingAfterBreak="0">
    <w:multiLevelType w:val="hybridMultilevel"/>
    <w:lvl w:ilvl="0" w:tentative="1">
      <w:start w:val="1"/>
      <w:numFmt w:val="decimal"/>
      <w:lvlText w:val="%1."/>
      <w:lvlJc w:val="left"/>
      <w:pPr>
        <w:ind w:left="108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Nirmala UI" w:eastAsia="Times New Roman" w:hAnsi="Times New Roman"/>
        <w:sz w:val="24"/>
        <w:szCs w:val="24"/>
      </w:rPr>
    </w:rPrDefault>
    <w:pPrDefault>
      <w:pPr>
        <w:spacing w:line="48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0" w:before="0" w:line="480"/>
      <w:jc w:val="center"/>
      <w:outlineLvl w:val="0"/>
    </w:pPr>
    <w:rPr>
      <w:rFonts w:ascii="Times New Roman" w:cs="Nirmala UI" w:eastAsia="Times New Roman" w:hAnsi="Times New Roman"/>
      <w:b/>
      <w:bCs/>
      <w:color w:val="000000"/>
      <w:sz w:val="24"/>
      <w:szCs w:val="24"/>
    </w:rPr>
  </w:style>
  <w:style w:type="paragraph" w:styleId="Heading2">
    <w:name w:val="Heading 2"/>
    <w:basedOn w:val="Normal"/>
    <w:next w:val="Normal"/>
    <w:qFormat/>
    <w:pPr>
      <w:keepNext/>
      <w:spacing w:after="0" w:before="0" w:line="480"/>
      <w:jc w:val="left"/>
      <w:outlineLvl w:val="1"/>
    </w:pPr>
    <w:rPr>
      <w:rFonts w:ascii="Times New Roman" w:cs="Nirmala UI" w:eastAsia="Times New Roman" w:hAnsi="Times New Roman"/>
      <w:b/>
      <w:bCs/>
      <w:color w:val="000000"/>
      <w:sz w:val="24"/>
      <w:szCs w:val="24"/>
    </w:rPr>
  </w:style>
  <w:style w:type="character" w:styleId="Hyperlink">
    <w:name w:val="Hyperlink"/>
    <w:uiPriority w:val="99"/>
    <w:unhideWhenUsed/>
    <w:rPr>
      <w:color w:val="0563C1"/>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theme" Target="theme/theme1.xml"/><Relationship Id="rIdb6lzfkw5ytlhlzm-g_ezj" Type="http://schemas.openxmlformats.org/officeDocument/2006/relationships/hyperlink" Target="https://github.com/Prijesh77/pgs-ir-assignment" TargetMode="External"/><Relationship Id="rId9" Type="http://schemas.openxmlformats.org/officeDocument/2006/relationships/image" Target="media/4ef23bf4b9ef68d09405849c80fed3727ddf32e7.png"/><Relationship Id="rId10" Type="http://schemas.openxmlformats.org/officeDocument/2006/relationships/image" Target="media/8aa86f4214c29394cb054bcb9b278c6f69025b6c.png"/><Relationship Id="rId11" Type="http://schemas.openxmlformats.org/officeDocument/2006/relationships/image" Target="media/85e3efefbb36b0396ed5393e02a361a9274157c0.png"/><Relationship Id="rId12" Type="http://schemas.openxmlformats.org/officeDocument/2006/relationships/image" Target="media/ed7cf79df6c2c44f756e0c33213962e22c8ee2b0.png"/><Relationship Id="rId13" Type="http://schemas.openxmlformats.org/officeDocument/2006/relationships/image" Target="media/e829440da60954546d2626c842894ea4942a86cc.png"/><Relationship Id="rId14" Type="http://schemas.openxmlformats.org/officeDocument/2006/relationships/image" Target="media/7144cbdffa6c5908732be0bcf453d127bdfd2836.png"/><Relationship Id="rId15" Type="http://schemas.openxmlformats.org/officeDocument/2006/relationships/image" Target="media/b84eb1b8323b9b8a0080248d6c184a47450cf651.png"/><Relationship Id="rId16" Type="http://schemas.openxmlformats.org/officeDocument/2006/relationships/image" Target="media/885de9b197f0a698f0059b9960d508f0376324da.png"/><Relationship Id="rId17" Type="http://schemas.openxmlformats.org/officeDocument/2006/relationships/image" Target="media/ce2490eec54ff20ea39e203c8a48ae5db484596b.png"/><Relationship Id="rId18" Type="http://schemas.openxmlformats.org/officeDocument/2006/relationships/image" Target="media/055070fd0a1073287642eecf150174db5b953b98.png"/><Relationship Id="rId19" Type="http://schemas.openxmlformats.org/officeDocument/2006/relationships/image" Target="media/5d1627297301a620cef29f5add6fd4016b90f7c9.png"/><Relationship Id="rId20" Type="http://schemas.openxmlformats.org/officeDocument/2006/relationships/image" Target="media/aacd35c5e403e547568ec63916ddc035fc6fedb5.png"/><Relationship Id="rId21" Type="http://schemas.openxmlformats.org/officeDocument/2006/relationships/image" Target="media/4aa7ed1c330d517d84e2f58553b122184259ef39.png"/><Relationship Id="rId22" Type="http://schemas.openxmlformats.org/officeDocument/2006/relationships/image" Target="media/807e77813ceb628c93d1d8fcf5061c87f3413c31.png"/><Relationship Id="rId23" Type="http://schemas.openxmlformats.org/officeDocument/2006/relationships/image" Target="media/8e994290fa6a82e311de1c91e277cad18961dcb8.png"/><Relationship Id="rId24" Type="http://schemas.openxmlformats.org/officeDocument/2006/relationships/image" Target="media/5b17dc49425a4a02a0caa9c39ce6ef8c245b524e.png"/><Relationship Id="rId25" Type="http://schemas.openxmlformats.org/officeDocument/2006/relationships/image" Target="media/113f4c0264dadcfb8a477c6c986be88b54513a6c.png"/><Relationship Id="rId26" Type="http://schemas.openxmlformats.org/officeDocument/2006/relationships/image" Target="media/7bc915699472051fbf0bceaf63f6c302f540cba5.png"/><Relationship Id="rId27" Type="http://schemas.openxmlformats.org/officeDocument/2006/relationships/image" Target="media/185ae8f2362c278266599615149b146b2ab916e8.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the Retrieval Models of a Bilingual Search System for Nepal</dc:title>
  <dc:creator>Prijesh</dc:creator>
  <cp:lastModifiedBy>Un-named</cp:lastModifiedBy>
  <cp:revision>1</cp:revision>
  <dcterms:created xsi:type="dcterms:W3CDTF">2026-10-12T06:55:50.500Z</dcterms:created>
  <dcterms:modified xsi:type="dcterms:W3CDTF">2026-10-12T06:55:50.501Z</dcterms:modified>
</cp:coreProperties>
</file>

<file path=docProps/custom.xml><?xml version="1.0" encoding="utf-8"?>
<Properties xmlns="http://schemas.openxmlformats.org/officeDocument/2006/custom-properties" xmlns:vt="http://schemas.openxmlformats.org/officeDocument/2006/docPropsVTypes"/>
</file>