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pPr>
    </w:p>
    <w:p>
      <w:pPr>
        <w:spacing w:line="480"/>
        <w:jc w:val="center"/>
      </w:pPr>
      <w:r>
        <w:rPr>
          <w:b/>
          <w:bCs/>
        </w:rPr>
        <w:t xml:space="preserve">Evaluating the Retrieval Models of a Bilingual Search System for Nepal</w:t>
      </w:r>
    </w:p>
    <w:p>
      <w:pPr>
        <w:spacing w:line="480"/>
      </w:pPr>
    </w:p>
    <w:p>
      <w:pPr>
        <w:spacing w:line="480"/>
        <w:jc w:val="center"/>
      </w:pPr>
      <w:r>
        <w:t xml:space="preserve">Prijesh</w:t>
      </w:r>
    </w:p>
    <w:p>
      <w:pPr>
        <w:spacing w:line="480"/>
        <w:jc w:val="center"/>
      </w:pPr>
      <w:r>
        <w:t xml:space="preserve">[Department name], [University name]</w:t>
      </w:r>
    </w:p>
    <w:p>
      <w:pPr>
        <w:spacing w:line="480"/>
        <w:jc w:val="center"/>
      </w:pPr>
      <w:r>
        <w:t xml:space="preserve">[Course number]: [Course name], Week 7 Assignment</w:t>
      </w:r>
    </w:p>
    <w:p>
      <w:pPr>
        <w:spacing w:line="480"/>
        <w:jc w:val="center"/>
      </w:pPr>
      <w:r>
        <w:t xml:space="preserve">[Instructor name]</w:t>
      </w:r>
    </w:p>
    <w:p>
      <w:pPr>
        <w:spacing w:line="480"/>
        <w:jc w:val="center"/>
      </w:pPr>
      <w:r>
        <w:t xml:space="preserve">October 12, 2026</w:t>
      </w:r>
    </w:p>
    <w:p>
      <w:r>
        <w:br w:type="page"/>
      </w:r>
    </w:p>
    <w:p>
      <w:pPr>
        <w:pStyle w:val="Heading1"/>
      </w:pPr>
      <w:r>
        <w:t xml:space="preserve">Evaluating the Retrieval Models of a Bilingual Search System for Nepal</w:t>
      </w:r>
    </w:p>
    <w:p>
      <w:pPr>
        <w:spacing w:after="0" w:before="0" w:line="480"/>
        <w:ind w:firstLine="720"/>
      </w:pPr>
      <w:r>
        <w:t xml:space="preserve">In Week 6 I built PGS Mini Search, a bilingual (English and Nepali) information retrieval system based on our team project, the PGS Search Engine (tekraj, 2026). It searches 9,842 documents about Nepal’s places and websites with four models: Boolean, TF-IDF, BM25F and a hybrid of the last two. This report evaluates those models with a wider set of measures (precision, recall, F1, R-Precision, MAP, MRR and nDCG), tests whether the differences are statistically significant, tunes BM25 and analyses where the models fail.</w:t>
      </w:r>
    </w:p>
    <w:p>
      <w:pPr>
        <w:pStyle w:val="Heading1"/>
      </w:pPr>
      <w:r>
        <w:t xml:space="preserve">Method</w:t>
      </w:r>
    </w:p>
    <w:p>
      <w:pPr>
        <w:pStyle w:val="Heading2"/>
      </w:pPr>
      <w:r>
        <w:t xml:space="preserve">Test Collection and Runs</w:t>
      </w:r>
    </w:p>
    <w:p>
      <w:pPr>
        <w:spacing w:after="0" w:before="0" w:line="480"/>
        <w:ind w:firstLine="720"/>
      </w:pPr>
      <w:r>
        <w:t xml:space="preserve">The test collection has 461 queries in six groups: local governments by district in English (77) and in Nepali (77), districts by province (7), local governments by name (100), the same names with a typing mistake (100) and websites by name (100). The relevance judgments come from the dataset’s metadata and are graded: grade 2 means relevant (for “local governments in Kaski district”, every local government in Kaski) and grade 1 means partially relevant (the Kaski District page, which lists them). There are 1,891 relevant and 235 partially relevant judgments. Eight runs were compared: the six Week 6 runs, BM25F + expansion without word segmentation (an ablation) and BM25F + expansion with tuned parameters.</w:t>
      </w:r>
    </w:p>
    <w:p>
      <w:pPr>
        <w:pStyle w:val="Heading2"/>
      </w:pPr>
      <w:r>
        <w:t xml:space="preserve">Measures and Experiments</w:t>
      </w:r>
    </w:p>
    <w:p>
      <w:pPr>
        <w:keepNext/>
        <w:spacing w:before="240" w:line="480"/>
      </w:pPr>
      <w:r>
        <w:rPr>
          <w:b/>
          <w:bCs/>
        </w:rPr>
        <w:t xml:space="preserve">Table 1</w:t>
      </w:r>
    </w:p>
    <w:p>
      <w:pPr>
        <w:keepNext/>
        <w:spacing w:line="480"/>
      </w:pPr>
      <w:r>
        <w:rPr>
          <w:i/>
          <w:iCs/>
        </w:rPr>
        <w:t xml:space="preserve">Evaluation Measures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206"/>
        <w:gridCol w:w="6820"/>
      </w:tblGrid>
      <w:tr>
        <w:trPr>
          <w:tblHeader/>
        </w:trPr>
        <w:tc>
          <w:tcPr>
            <w:tcW w:type="dxa" w:w="2206"/>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jc w:val="left"/>
            </w:pPr>
            <w:r>
              <w:rPr>
                <w:b w:val="false"/>
                <w:bCs w:val="false"/>
              </w:rPr>
              <w:t xml:space="preserve">Measure</w:t>
            </w:r>
          </w:p>
        </w:tc>
        <w:tc>
          <w:tcPr>
            <w:tcW w:type="dxa" w:w="6820"/>
            <w:tcBorders>
              <w:top w:val="single" w:color="000000" w:sz="8"/>
              <w:left w:val="none" w:color="FFFFFF" w:sz="0"/>
              <w:bottom w:val="single" w:color="000000" w:sz="8"/>
              <w:right w:val="none" w:color="FFFFFF" w:sz="0"/>
            </w:tcBorders>
            <w:tcMar>
              <w:top w:type="dxa" w:w="40"/>
              <w:left w:type="dxa" w:w="80"/>
              <w:bottom w:type="dxa" w:w="40"/>
              <w:right w:type="dxa" w:w="80"/>
            </w:tcMar>
          </w:tcPr>
          <w:p>
            <w:pPr>
              <w:keepNext/>
              <w:jc w:val="left"/>
            </w:pPr>
            <w:r>
              <w:rPr>
                <w:b w:val="false"/>
                <w:bCs w:val="false"/>
              </w:rPr>
              <w:t xml:space="preserve">Meaning</w:t>
            </w:r>
          </w:p>
        </w:tc>
      </w:tr>
      <w:tr>
        <w:trPr>
          <w:cantSplit/>
        </w:trPr>
        <w:tc>
          <w:tcPr>
            <w:tcW w:type="dxa" w:w="22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P@k, R@k, F1@10</w:t>
            </w:r>
          </w:p>
        </w:tc>
        <w:tc>
          <w:tcPr>
            <w:tcW w:type="dxa" w:w="68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Share of the top k that is relevant; share of all relevant documents found in the top k; their harmonic mean</w:t>
            </w:r>
          </w:p>
        </w:tc>
      </w:tr>
      <w:tr>
        <w:trPr>
          <w:cantSplit/>
        </w:trPr>
        <w:tc>
          <w:tcPr>
            <w:tcW w:type="dxa" w:w="22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R-Precision</w:t>
            </w:r>
          </w:p>
        </w:tc>
        <w:tc>
          <w:tcPr>
            <w:tcW w:type="dxa" w:w="68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Precision at rank R, where R is the number of relevant documents</w:t>
            </w:r>
          </w:p>
        </w:tc>
      </w:tr>
      <w:tr>
        <w:trPr>
          <w:cantSplit/>
        </w:trPr>
        <w:tc>
          <w:tcPr>
            <w:tcW w:type="dxa" w:w="22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MAP</w:t>
            </w:r>
          </w:p>
        </w:tc>
        <w:tc>
          <w:tcPr>
            <w:tcW w:type="dxa" w:w="68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Mean of average precision: precision at the rank of each relevant document</w:t>
            </w:r>
          </w:p>
        </w:tc>
      </w:tr>
      <w:tr>
        <w:trPr>
          <w:cantSplit/>
        </w:trPr>
        <w:tc>
          <w:tcPr>
            <w:tcW w:type="dxa" w:w="22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MRR, S@1</w:t>
            </w:r>
          </w:p>
        </w:tc>
        <w:tc>
          <w:tcPr>
            <w:tcW w:type="dxa" w:w="68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b w:val="false"/>
                <w:bCs w:val="false"/>
              </w:rPr>
              <w:t xml:space="preserve">Mean of 1 / rank of the first relevant document; share of queries answered at rank 1</w:t>
            </w:r>
          </w:p>
        </w:tc>
      </w:tr>
      <w:tr>
        <w:trPr>
          <w:cantSplit/>
        </w:trPr>
        <w:tc>
          <w:tcPr>
            <w:tcW w:type="dxa" w:w="2206"/>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jc w:val="left"/>
            </w:pPr>
            <w:r>
              <w:rPr>
                <w:b w:val="false"/>
                <w:bCs w:val="false"/>
              </w:rPr>
              <w:t xml:space="preserve">nDCG@k</w:t>
            </w:r>
          </w:p>
        </w:tc>
        <w:tc>
          <w:tcPr>
            <w:tcW w:type="dxa" w:w="6820"/>
            <w:tcBorders>
              <w:top w:val="none" w:color="FFFFFF" w:sz="0"/>
              <w:left w:val="none" w:color="FFFFFF" w:sz="0"/>
              <w:bottom w:val="single" w:color="000000" w:sz="8"/>
              <w:right w:val="none" w:color="FFFFFF" w:sz="0"/>
            </w:tcBorders>
            <w:tcMar>
              <w:top w:type="dxa" w:w="40"/>
              <w:left w:type="dxa" w:w="80"/>
              <w:bottom w:type="dxa" w:w="40"/>
              <w:right w:type="dxa" w:w="80"/>
            </w:tcMar>
          </w:tcPr>
          <w:p>
            <w:pPr>
              <w:keepNext/>
              <w:jc w:val="left"/>
            </w:pPr>
            <w:r>
              <w:rPr>
                <w:b w:val="false"/>
                <w:bCs w:val="false"/>
              </w:rPr>
              <w:t xml:space="preserve">Discounted cumulative gain with graded relevance (gain 2^grade − 1), normalised to 1</w:t>
            </w:r>
          </w:p>
        </w:tc>
      </w:tr>
    </w:tbl>
    <w:p>
      <w:pPr>
        <w:spacing w:line="480"/>
      </w:pPr>
    </w:p>
    <w:p>
      <w:pPr>
        <w:spacing w:after="0" w:before="0" w:line="480"/>
        <w:ind w:firstLine="720"/>
      </w:pPr>
      <w:r>
        <w:t xml:space="preserve">Set and rank measures use binary relevance (grade 2 only), as in Week 6 (Manning et al., 2008); nDCG uses both grades (Järvelin &amp; Kekäläinen, 2002). Five experiments were run with python -m pgs_ir week7: (E1) all runs on all measures; (E2) precision-recall curves; (E3) a two-sided paired randomisation test of each run against BM25F with 10,000 permutations (Smucker et al., 2007); (E4) tuning of BM25’s k1 and b on half of the queries (232, the development set), reported on the other half (229, the test set) so that the result is not biased; and (E6) a failure analysis.</w:t>
      </w:r>
    </w:p>
    <w:p>
      <w:pPr>
        <w:pStyle w:val="Heading1"/>
      </w:pPr>
      <w:r>
        <w:t xml:space="preserve">Implementation</w:t>
      </w:r>
    </w:p>
    <w:p>
      <w:pPr>
        <w:spacing w:after="0" w:before="0" w:line="480"/>
        <w:ind w:firstLine="720"/>
      </w:pPr>
      <w:r>
        <w:t xml:space="preserve">The evaluation adds two Python modules to the Week 6 code, with no external libraries. pgs_ir/metrics.py has one function per measure; pgs_ir/week7.py builds the graded judgments, runs the experiments and saves the results to results/week7 as JSON, Markdown and a per-query CSV file. Each function has a docstring and inline comments explaining its formula, and seven unit tests check the measures against hand-worked examples (all 28 tests of the project pass).</w:t>
      </w:r>
    </w:p>
    <w:p>
      <w:pPr>
        <w:spacing w:after="0" w:before="0" w:line="480"/>
        <w:ind w:firstLine="720"/>
      </w:pPr>
      <w:r>
        <w:t xml:space="preserve">Figure 1 shows average precision and reciprocal rank. Average precision adds the precision at each relevant document’s rank and divides by the number of relevant documents, so relevant documents that are never retrieved lower the score.</w:t>
      </w:r>
    </w:p>
    <w:p>
      <w:pPr>
        <w:keepNext/>
        <w:spacing w:before="240" w:line="480"/>
      </w:pPr>
      <w:r>
        <w:rPr>
          <w:b/>
          <w:bCs/>
        </w:rPr>
        <w:t xml:space="preserve">Figure 1</w:t>
      </w:r>
    </w:p>
    <w:p>
      <w:pPr>
        <w:keepNext/>
        <w:spacing w:line="480"/>
      </w:pPr>
      <w:r>
        <w:rPr>
          <w:i/>
          <w:iCs/>
        </w:rPr>
        <w:t xml:space="preserve">Average Precision and Reciprocal Rank</w:t>
      </w:r>
    </w:p>
    <w:p>
      <w:pPr>
        <w:spacing w:after="240"/>
        <w:jc w:val="center"/>
      </w:pPr>
      <w:r>
        <w:drawing>
          <wp:inline distT="0" distB="0" distL="0" distR="0">
            <wp:extent cx="5619750" cy="2609850"/>
            <wp:effectExtent t="0" r="0" b="0" l="0"/>
            <wp:docPr id="1" name="w7_code_rank_measures" descr="Average Precision and Reciprocal Rank" title="Average Precision and Reciprocal R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609850"/>
                    </a:xfrm>
                    <a:prstGeom prst="rect">
                      <a:avLst/>
                    </a:prstGeom>
                  </pic:spPr>
                </pic:pic>
              </a:graphicData>
            </a:graphic>
          </wp:inline>
        </w:drawing>
      </w:r>
    </w:p>
    <w:p>
      <w:pPr>
        <w:spacing w:after="0" w:before="0" w:line="480"/>
        <w:ind w:firstLine="720"/>
      </w:pPr>
      <w:r>
        <w:t xml:space="preserve">Figure 2 shows nDCG with graded relevance: each result’s gain is discounted by log2(rank + 1) and divided by the gain of the ideal ranking.</w:t>
      </w:r>
    </w:p>
    <w:p>
      <w:pPr>
        <w:keepNext/>
        <w:spacing w:before="240" w:line="480"/>
      </w:pPr>
      <w:r>
        <w:rPr>
          <w:b/>
          <w:bCs/>
        </w:rPr>
        <w:t xml:space="preserve">Figure 2</w:t>
      </w:r>
    </w:p>
    <w:p>
      <w:pPr>
        <w:keepNext/>
        <w:spacing w:line="480"/>
      </w:pPr>
      <w:r>
        <w:rPr>
          <w:i/>
          <w:iCs/>
        </w:rPr>
        <w:t xml:space="preserve">Discounted Cumulative Gain and nDCG</w:t>
      </w:r>
    </w:p>
    <w:p>
      <w:pPr>
        <w:spacing w:after="240"/>
        <w:jc w:val="center"/>
      </w:pPr>
      <w:r>
        <w:drawing>
          <wp:inline distT="0" distB="0" distL="0" distR="0">
            <wp:extent cx="5619750" cy="2028825"/>
            <wp:effectExtent t="0" r="0" b="0" l="0"/>
            <wp:docPr id="2" name="w7_code_ndcg" descr="Discounted Cumulative Gain and nDCG" title="Discounted Cumulative Gain and nD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028825"/>
                    </a:xfrm>
                    <a:prstGeom prst="rect">
                      <a:avLst/>
                    </a:prstGeom>
                  </pic:spPr>
                </pic:pic>
              </a:graphicData>
            </a:graphic>
          </wp:inline>
        </w:drawing>
      </w:r>
    </w:p>
    <w:p>
      <w:pPr>
        <w:spacing w:after="0" w:before="0" w:line="480"/>
        <w:ind w:firstLine="720"/>
      </w:pPr>
      <w:r>
        <w:t xml:space="preserve">Figure 3 shows the significance test. It randomly swaps the two systems’ scores on each query 10,000 times and counts how often the mean difference is as large as the observed one; that share is the p-value.</w:t>
      </w:r>
    </w:p>
    <w:p>
      <w:pPr>
        <w:keepNext/>
        <w:spacing w:before="240" w:line="480"/>
      </w:pPr>
      <w:r>
        <w:rPr>
          <w:b/>
          <w:bCs/>
        </w:rPr>
        <w:t xml:space="preserve">Figure 3</w:t>
      </w:r>
    </w:p>
    <w:p>
      <w:pPr>
        <w:keepNext/>
        <w:spacing w:line="480"/>
      </w:pPr>
      <w:r>
        <w:rPr>
          <w:i/>
          <w:iCs/>
        </w:rPr>
        <w:t xml:space="preserve">Paired Randomisation Test</w:t>
      </w:r>
    </w:p>
    <w:p>
      <w:pPr>
        <w:spacing w:after="240"/>
        <w:jc w:val="center"/>
      </w:pPr>
      <w:r>
        <w:drawing>
          <wp:inline distT="0" distB="0" distL="0" distR="0">
            <wp:extent cx="5619750" cy="2905125"/>
            <wp:effectExtent t="0" r="0" b="0" l="0"/>
            <wp:docPr id="3" name="w7_code_significance" descr="Paired Randomisation Test" title="Paired Randomisatio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905125"/>
                    </a:xfrm>
                    <a:prstGeom prst="rect">
                      <a:avLst/>
                    </a:prstGeom>
                  </pic:spPr>
                </pic:pic>
              </a:graphicData>
            </a:graphic>
          </wp:inline>
        </w:drawing>
      </w:r>
    </w:p>
    <w:p>
      <w:pPr>
        <w:pStyle w:val="Heading1"/>
      </w:pPr>
      <w:r>
        <w:t xml:space="preserve">Results</w:t>
      </w:r>
    </w:p>
    <w:p>
      <w:pPr>
        <w:pStyle w:val="Heading2"/>
      </w:pPr>
      <w:r>
        <w:t xml:space="preserve">Effectiveness of the Models</w:t>
      </w:r>
    </w:p>
    <w:p>
      <w:pPr>
        <w:keepNext/>
        <w:spacing w:before="240" w:line="480"/>
      </w:pPr>
      <w:r>
        <w:rPr>
          <w:b/>
          <w:bCs/>
        </w:rPr>
        <w:t xml:space="preserve">Figure 4</w:t>
      </w:r>
    </w:p>
    <w:p>
      <w:pPr>
        <w:keepNext/>
        <w:spacing w:line="480"/>
      </w:pPr>
      <w:r>
        <w:rPr>
          <w:i/>
          <w:iCs/>
        </w:rPr>
        <w:t xml:space="preserve">All Measures for Each Run (Program Output)</w:t>
      </w:r>
    </w:p>
    <w:p>
      <w:pPr>
        <w:spacing w:after="240"/>
        <w:jc w:val="center"/>
      </w:pPr>
      <w:r>
        <w:drawing>
          <wp:inline distT="0" distB="0" distL="0" distR="0">
            <wp:extent cx="5619750" cy="2009775"/>
            <wp:effectExtent t="0" r="0" b="0" l="0"/>
            <wp:docPr id="4" name="w7_run_e1" descr="All Measures for Each Run (Program Output)" title="All Measures for Each Run (Program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009775"/>
                    </a:xfrm>
                    <a:prstGeom prst="rect">
                      <a:avLst/>
                    </a:prstGeom>
                  </pic:spPr>
                </pic:pic>
              </a:graphicData>
            </a:graphic>
          </wp:inline>
        </w:drawing>
      </w:r>
    </w:p>
    <w:p>
      <w:pPr>
        <w:spacing w:after="0" w:before="0" w:line="480"/>
        <w:ind w:firstLine="720"/>
      </w:pPr>
      <w:r>
        <w:t xml:space="preserve">Figure 4 gives every measure for every run. Query expansion (translation and spelling correction) gives the largest gain: MAP rose from 0.643 to 0.803 and R@100 from 0.800 to 0.946, because translated and corrected words find documents the original words cannot. The hybrid run puts the right answer first most often among the untuned runs (S@1 0.738), and the tuned BM25F run is best overall (MAP 0.865, nDCG@10 0.889). Precision@10 is low for all runs (at most 0.349) only because 300 queries have just one or two correct answers, so even a perfect ranking scores 0.1 to 0.2; MAP, MRR and nDCG are better guides. The Boolean model has high precision but a low S@1, because it cannot rank its results.</w:t>
      </w:r>
    </w:p>
    <w:p>
      <w:pPr>
        <w:spacing w:after="0" w:before="0" w:line="480"/>
        <w:ind w:firstLine="720"/>
      </w:pPr>
      <w:r>
        <w:t xml:space="preserve">The query groups differ. Spelling correction makes misspelt names findable (MAP 0.057 → 0.725), but expansion slightly hurts website names (0.917 → 0.823), and without word segmentation website names are almost never found (MAP 0.020).</w:t>
      </w:r>
    </w:p>
    <w:p>
      <w:pPr>
        <w:keepNext/>
        <w:spacing w:before="240" w:line="480"/>
      </w:pPr>
      <w:r>
        <w:rPr>
          <w:b/>
          <w:bCs/>
        </w:rPr>
        <w:t xml:space="preserve">Figure 5</w:t>
      </w:r>
    </w:p>
    <w:p>
      <w:pPr>
        <w:keepNext/>
        <w:spacing w:line="480"/>
      </w:pPr>
      <w:r>
        <w:rPr>
          <w:i/>
          <w:iCs/>
        </w:rPr>
        <w:t xml:space="preserve">Interpolated Precision-Recall Curves</w:t>
      </w:r>
    </w:p>
    <w:p>
      <w:pPr>
        <w:spacing w:after="240"/>
        <w:jc w:val="center"/>
      </w:pPr>
      <w:r>
        <w:drawing>
          <wp:inline distT="0" distB="0" distL="0" distR="0">
            <wp:extent cx="5619750" cy="3743325"/>
            <wp:effectExtent t="0" r="0" b="0" l="0"/>
            <wp:docPr id="5" name="w7_chart_pr" descr="Interpolated Precision-Recall Curves" title="Interpolated Precision-Recall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743325"/>
                    </a:xfrm>
                    <a:prstGeom prst="rect">
                      <a:avLst/>
                    </a:prstGeom>
                  </pic:spPr>
                </pic:pic>
              </a:graphicData>
            </a:graphic>
          </wp:inline>
        </w:drawing>
      </w:r>
    </w:p>
    <w:p>
      <w:pPr>
        <w:spacing w:after="0" w:before="0" w:line="480"/>
        <w:ind w:firstLine="720"/>
      </w:pPr>
      <w:r>
        <w:t xml:space="preserve">The precision-recall curves (Figure 5) are almost flat: relevant documents are usually grouped at the top, so precision barely falls as recall rises. The level of each curve is set mainly by the share of queries that fail completely. Runs with expansion are about 0.15 higher at every recall level.</w:t>
      </w:r>
    </w:p>
    <w:p>
      <w:pPr>
        <w:pStyle w:val="Heading2"/>
      </w:pPr>
      <w:r>
        <w:t xml:space="preserve">Statistical Significance</w:t>
      </w:r>
    </w:p>
    <w:p>
      <w:pPr>
        <w:keepNext/>
        <w:spacing w:before="240" w:line="480"/>
      </w:pPr>
      <w:r>
        <w:rPr>
          <w:b/>
          <w:bCs/>
        </w:rPr>
        <w:t xml:space="preserve">Figure 6</w:t>
      </w:r>
    </w:p>
    <w:p>
      <w:pPr>
        <w:keepNext/>
        <w:spacing w:line="480"/>
      </w:pPr>
      <w:r>
        <w:rPr>
          <w:i/>
          <w:iCs/>
        </w:rPr>
        <w:t xml:space="preserve">Randomisation Tests Against BM25F (Program Output)</w:t>
      </w:r>
    </w:p>
    <w:p>
      <w:pPr>
        <w:spacing w:after="240"/>
        <w:jc w:val="center"/>
      </w:pPr>
      <w:r>
        <w:drawing>
          <wp:inline distT="0" distB="0" distL="0" distR="0">
            <wp:extent cx="5619750" cy="4267200"/>
            <wp:effectExtent t="0" r="0" b="0" l="0"/>
            <wp:docPr id="6" name="w7_run_e3" descr="Randomisation Tests Against BM25F (Program Output)" title="Randomisation Tests Against BM25F (Program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4267200"/>
                    </a:xfrm>
                    <a:prstGeom prst="rect">
                      <a:avLst/>
                    </a:prstGeom>
                  </pic:spPr>
                </pic:pic>
              </a:graphicData>
            </a:graphic>
          </wp:inline>
        </w:drawing>
      </w:r>
    </w:p>
    <w:p>
      <w:pPr>
        <w:spacing w:after="0" w:before="0" w:line="480"/>
        <w:ind w:firstLine="720"/>
      </w:pPr>
      <w:r>
        <w:t xml:space="preserve">All runs with expansion are significantly better than BM25F (p &lt; .001 for MAP and nDCG@10). The difference between TF-IDF and BM25F (ΔMAP 0.008, p = .207) is not significant, so the two models should be treated as equal here, correcting the impression from Week 6. Removing segmentation is not significant on average (p = .745) because 152 queries improve and 103 get worse, which shows why win/tie/loss counts should be read alongside the mean.</w:t>
      </w:r>
    </w:p>
    <w:p>
      <w:pPr>
        <w:pStyle w:val="Heading2"/>
      </w:pPr>
      <w:r>
        <w:t xml:space="preserve">Tuning BM25</w:t>
      </w:r>
    </w:p>
    <w:p>
      <w:pPr>
        <w:keepNext/>
        <w:spacing w:before="240" w:line="480"/>
      </w:pPr>
      <w:r>
        <w:rPr>
          <w:b/>
          <w:bCs/>
        </w:rPr>
        <w:t xml:space="preserve">Figure 7</w:t>
      </w:r>
    </w:p>
    <w:p>
      <w:pPr>
        <w:keepNext/>
        <w:spacing w:line="480"/>
      </w:pPr>
      <w:r>
        <w:rPr>
          <w:i/>
          <w:iCs/>
        </w:rPr>
        <w:t xml:space="preserve">BM25 Parameter Grid and Held-Out Test Result (Program Output)</w:t>
      </w:r>
    </w:p>
    <w:p>
      <w:pPr>
        <w:spacing w:after="240"/>
        <w:jc w:val="center"/>
      </w:pPr>
      <w:r>
        <w:drawing>
          <wp:inline distT="0" distB="0" distL="0" distR="0">
            <wp:extent cx="5619750" cy="3552825"/>
            <wp:effectExtent t="0" r="0" b="0" l="0"/>
            <wp:docPr id="7" name="w7_run_e4" descr="BM25 Parameter Grid and Held-Out Test Result (Program Output)" title="BM25 Parameter Grid and Held-Out Test Result (Program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552825"/>
                    </a:xfrm>
                    <a:prstGeom prst="rect">
                      <a:avLst/>
                    </a:prstGeom>
                  </pic:spPr>
                </pic:pic>
              </a:graphicData>
            </a:graphic>
          </wp:inline>
        </w:drawing>
      </w:r>
    </w:p>
    <w:p>
      <w:pPr>
        <w:spacing w:after="0" w:before="0" w:line="480"/>
        <w:ind w:firstLine="720"/>
      </w:pPr>
      <w:r>
        <w:t xml:space="preserve">Lower values of both parameters work better on this collection (Figure 7). The best setting on the development queries was k1 = 0.5 and b = 0.25 (MAP 0.875 against 0.812 for the defaults k1 = 1.2, b = 0.75). On the unseen test queries MAP rose from 0.794 to 0.854 and nDCG@10 from 0.833 to 0.884, better on 69 queries and worse on 1 (p &lt; .001). The documents are short and words rarely repeat, so a low k1 loses little; a low b stops penalising the longer local-government documents, which had been ranked below short websites named after the same district.</w:t>
      </w:r>
    </w:p>
    <w:p>
      <w:pPr>
        <w:pStyle w:val="Heading2"/>
      </w:pPr>
      <w:r>
        <w:t xml:space="preserve">Failure Analysis</w:t>
      </w:r>
    </w:p>
    <w:p>
      <w:pPr>
        <w:keepNext/>
        <w:spacing w:before="240" w:line="480"/>
      </w:pPr>
      <w:r>
        <w:rPr>
          <w:b/>
          <w:bCs/>
        </w:rPr>
        <w:t xml:space="preserve">Figure 8</w:t>
      </w:r>
    </w:p>
    <w:p>
      <w:pPr>
        <w:keepNext/>
        <w:spacing w:line="480"/>
      </w:pPr>
      <w:r>
        <w:rPr>
          <w:i/>
          <w:iCs/>
        </w:rPr>
        <w:t xml:space="preserve">The Worst Queries of the Best Run (Program Output)</w:t>
      </w:r>
    </w:p>
    <w:p>
      <w:pPr>
        <w:spacing w:after="240"/>
        <w:jc w:val="center"/>
      </w:pPr>
      <w:r>
        <w:drawing>
          <wp:inline distT="0" distB="0" distL="0" distR="0">
            <wp:extent cx="5619750" cy="6057900"/>
            <wp:effectExtent t="0" r="0" b="0" l="0"/>
            <wp:docPr id="8" name="w7_run_e6" descr="The Worst Queries of the Best Run (Program Output)" title="The Worst Queries of the Best Run (Program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6057900"/>
                    </a:xfrm>
                    <a:prstGeom prst="rect">
                      <a:avLst/>
                    </a:prstGeom>
                  </pic:spPr>
                </pic:pic>
              </a:graphicData>
            </a:graphic>
          </wp:inline>
        </w:drawing>
      </w:r>
    </w:p>
    <w:p>
      <w:pPr>
        <w:spacing w:after="0" w:before="0" w:line="480"/>
        <w:ind w:firstLine="720"/>
      </w:pPr>
      <w:r>
        <w:t xml:space="preserve">All 25 complete failures of the best run are very short misspelt names, such as “Baru” for Barju or “Bei” for Beni (Figure 8). Dropping one letter from a four- to six-letter word changes most of its character trigrams, so no spelling correction is found. Among the other queries, the worst are website names containing “news”, such as “lumbini news”: the word list translates news into samachar and khabar, so lumbinisamachar.com is ranked above lumbininews.com. All queries take under 17 ms (median under 2 ms), so speed is not a concern.</w:t>
      </w:r>
    </w:p>
    <w:p>
      <w:pPr>
        <w:pStyle w:val="Heading1"/>
      </w:pPr>
      <w:r>
        <w:t xml:space="preserve">Discussion</w:t>
      </w:r>
    </w:p>
    <w:p>
      <w:pPr>
        <w:spacing w:after="0" w:before="0" w:line="480"/>
        <w:ind w:firstLine="720"/>
      </w:pPr>
      <w:r>
        <w:t xml:space="preserve">Using many measures gave a fuller picture than one number: precision alone favours the Boolean model, while MRR and S@1 show it is weak at ranking; MAP and nDCG agree on the order of the runs; and R@100 shows that with expansion about 95% of relevant documents are found, so the remaining problem is ranking, not finding. Significance testing showed which differences are real. The main limitations are that the judgments come from metadata and the queries follow templates, which favours exact-match models such as Boolean, and that the documents are short. I recommend using k1 ≈ 0.5 and b ≈ 0.25, adding an edit-distance fallback for short misspelt words, weakening expansion for queries that look like website names, and confirming the results with real user queries.</w:t>
      </w:r>
    </w:p>
    <w:p>
      <w:pPr>
        <w:pStyle w:val="Heading1"/>
      </w:pPr>
      <w:r>
        <w:t xml:space="preserve">Conclusion</w:t>
      </w:r>
    </w:p>
    <w:p>
      <w:pPr>
        <w:spacing w:after="0" w:before="0" w:line="480"/>
        <w:ind w:firstLine="720"/>
      </w:pPr>
      <w:r>
        <w:t xml:space="preserve">The evaluation showed that query expansion is the most valuable component (+0.160 MAP over BM25F, p &lt; .001) and that tuning BM25 adds a further, significant gain on unseen queries (MAP 0.794 → 0.854). The tuned BM25F run with expansion is the best model overall, with MAP 0.865 and nDCG@10 0.889.</w:t>
      </w:r>
    </w:p>
    <w:p>
      <w:pPr>
        <w:spacing w:line="480"/>
        <w:ind w:firstLine="720"/>
      </w:pPr>
      <w:r>
        <w:t xml:space="preserve">The code is available at </w:t>
      </w:r>
      <w:hyperlink w:history="1" r:id="rIdx2h_lnjxt_m6ctrtqek2q">
        <w:r>
          <w:rPr>
            <w:rStyle w:val="Hyperlink"/>
          </w:rPr>
          <w:t xml:space="preserve">https://github.com/Prijesh77/pgs-ir-assignment</w:t>
        </w:r>
      </w:hyperlink>
      <w:r>
        <w:t xml:space="preserve">. The Week 7 code is in pgs_ir/metrics.py and pgs_ir/week7.py and is run with python -m pgs_ir week7.</w:t>
      </w:r>
    </w:p>
    <w:p>
      <w:pPr>
        <w:pStyle w:val="Heading1"/>
        <w:pageBreakBefore/>
      </w:pPr>
      <w:r>
        <w:t xml:space="preserve">References</w:t>
      </w:r>
    </w:p>
    <w:p>
      <w:pPr>
        <w:spacing w:line="480"/>
        <w:ind w:left="720" w:hanging="720"/>
      </w:pPr>
      <w:r>
        <w:rPr>
          <w:i w:val="false"/>
          <w:iCs w:val="false"/>
        </w:rPr>
        <w:t xml:space="preserve">Järvelin, K., &amp; Kekäläinen, J. (2002). Cumulated gain-based evaluation of IR techniques. </w:t>
      </w:r>
      <w:r>
        <w:rPr>
          <w:i/>
          <w:iCs/>
        </w:rPr>
        <w:t xml:space="preserve">ACM Transactions on Information Systems, 20</w:t>
      </w:r>
      <w:r>
        <w:rPr>
          <w:i w:val="false"/>
          <w:iCs w:val="false"/>
        </w:rPr>
        <w:t xml:space="preserve">(4), 422–446. https://doi.org/10.1145/582415.582418</w:t>
      </w:r>
    </w:p>
    <w:p>
      <w:pPr>
        <w:spacing w:line="480"/>
        <w:ind w:left="720" w:hanging="720"/>
      </w:pPr>
      <w:r>
        <w:rPr>
          <w:i w:val="false"/>
          <w:iCs w:val="false"/>
        </w:rPr>
        <w:t xml:space="preserve">Manning, C. D., Raghavan, P., &amp; Schütze, H. (2008). </w:t>
      </w:r>
      <w:r>
        <w:rPr>
          <w:i/>
          <w:iCs/>
        </w:rPr>
        <w:t xml:space="preserve">Introduction to information retrieval</w:t>
      </w:r>
      <w:r>
        <w:rPr>
          <w:i w:val="false"/>
          <w:iCs w:val="false"/>
        </w:rPr>
        <w:t xml:space="preserve">. Cambridge University Press.</w:t>
      </w:r>
    </w:p>
    <w:p>
      <w:pPr>
        <w:spacing w:line="480"/>
        <w:ind w:left="720" w:hanging="720"/>
      </w:pPr>
      <w:r>
        <w:rPr>
          <w:i w:val="false"/>
          <w:iCs w:val="false"/>
        </w:rPr>
        <w:t xml:space="preserve">Smucker, M. D., Allan, J., &amp; Carterette, B. (2007). A comparison of statistical significance tests for information retrieval evaluation. In </w:t>
      </w:r>
      <w:r>
        <w:rPr>
          <w:i/>
          <w:iCs/>
        </w:rPr>
        <w:t xml:space="preserve">Proceedings of the Sixteenth ACM Conference on Information and Knowledge Management</w:t>
      </w:r>
      <w:r>
        <w:rPr>
          <w:i w:val="false"/>
          <w:iCs w:val="false"/>
        </w:rPr>
        <w:t xml:space="preserve"> (pp. 623–632). ACM. https://doi.org/10.1145/1321440.1321528</w:t>
      </w:r>
    </w:p>
    <w:p>
      <w:pPr>
        <w:spacing w:line="480"/>
        <w:ind w:left="720" w:hanging="720"/>
      </w:pPr>
      <w:r>
        <w:rPr>
          <w:i w:val="false"/>
          <w:iCs w:val="false"/>
        </w:rPr>
        <w:t xml:space="preserve">tekraj. (2026). </w:t>
      </w:r>
      <w:r>
        <w:rPr>
          <w:i/>
          <w:iCs/>
        </w:rPr>
        <w:t xml:space="preserve">pgs-search-engine</w:t>
      </w:r>
      <w:r>
        <w:rPr>
          <w:i w:val="false"/>
          <w:iCs w:val="false"/>
        </w:rPr>
        <w:t xml:space="preserve"> [Computer software]. GitHub. https://github.com/tekraj/pgs-search-engine</w:t>
      </w:r>
    </w:p>
    <w:sectPr>
      <w:headerReference w:type="default" r:id="rId6"/>
      <w:pgSz w:w="11906" w:h="16838" w:orient="portrait"/>
      <w:pgMar w:top="1440" w:right="1440" w:bottom="1440" w:left="1440" w:header="72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Nirmala UI" w:eastAsia="Times New Roman" w:hAnsi="Times New Roman"/>
        <w:sz w:val="24"/>
        <w:szCs w:val="24"/>
      </w:rPr>
    </w:rPrDefault>
    <w:pPrDefault>
      <w:pPr>
        <w:spacing w:line="4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jc w:val="center"/>
      <w:outlineLvl w:val="0"/>
    </w:pPr>
    <w:rPr>
      <w:rFonts w:ascii="Times New Roman" w:cs="Nirmala UI" w:eastAsia="Times New Roman" w:hAnsi="Times New Roman"/>
      <w:b/>
      <w:bCs/>
      <w:color w:val="000000"/>
      <w:sz w:val="24"/>
      <w:szCs w:val="24"/>
    </w:rPr>
  </w:style>
  <w:style w:type="paragraph" w:styleId="Heading2">
    <w:name w:val="Heading 2"/>
    <w:basedOn w:val="Normal"/>
    <w:next w:val="Normal"/>
    <w:qFormat/>
    <w:pPr>
      <w:keepNext/>
      <w:spacing w:after="0" w:before="0" w:line="480"/>
      <w:jc w:val="left"/>
      <w:outlineLvl w:val="1"/>
    </w:pPr>
    <w:rPr>
      <w:rFonts w:ascii="Times New Roman" w:cs="Nirmala UI" w:eastAsia="Times New Roman" w:hAnsi="Times New Roman"/>
      <w:b/>
      <w:bCs/>
      <w:color w:val="000000"/>
      <w:sz w:val="24"/>
      <w:szCs w:val="24"/>
    </w:rPr>
  </w:style>
  <w:style w:type="character" w:styleId="Hyperlink">
    <w:name w:val="Hyperlink"/>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x2h_lnjxt_m6ctrtqek2q" Type="http://schemas.openxmlformats.org/officeDocument/2006/relationships/hyperlink" Target="https://github.com/Prijesh77/pgs-ir-assignment" TargetMode="External"/><Relationship Id="rId9" Type="http://schemas.openxmlformats.org/officeDocument/2006/relationships/image" Target="media/8aa86f4214c29394cb054bcb9b278c6f69025b6c.png"/><Relationship Id="rId10" Type="http://schemas.openxmlformats.org/officeDocument/2006/relationships/image" Target="media/85e3efefbb36b0396ed5393e02a361a9274157c0.png"/><Relationship Id="rId11" Type="http://schemas.openxmlformats.org/officeDocument/2006/relationships/image" Target="media/7144cbdffa6c5908732be0bcf453d127bdfd2836.png"/><Relationship Id="rId12" Type="http://schemas.openxmlformats.org/officeDocument/2006/relationships/image" Target="media/055070fd0a1073287642eecf150174db5b953b98.png"/><Relationship Id="rId13" Type="http://schemas.openxmlformats.org/officeDocument/2006/relationships/image" Target="media/aacd35c5e403e547568ec63916ddc035fc6fedb5.png"/><Relationship Id="rId14" Type="http://schemas.openxmlformats.org/officeDocument/2006/relationships/image" Target="media/807e77813ceb628c93d1d8fcf5061c87f3413c31.png"/><Relationship Id="rId15" Type="http://schemas.openxmlformats.org/officeDocument/2006/relationships/image" Target="media/5b17dc49425a4a02a0caa9c39ce6ef8c245b524e.png"/><Relationship Id="rId16" Type="http://schemas.openxmlformats.org/officeDocument/2006/relationships/image" Target="media/7bc915699472051fbf0bceaf63f6c302f540cba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the Retrieval Models of a Bilingual Search System for Nepal</dc:title>
  <dc:creator>Prijesh</dc:creator>
  <cp:lastModifiedBy>Un-named</cp:lastModifiedBy>
  <cp:revision>1</cp:revision>
  <dcterms:created xsi:type="dcterms:W3CDTF">2026-10-12T11:56:21.451Z</dcterms:created>
  <dcterms:modified xsi:type="dcterms:W3CDTF">2026-10-12T11:56:21.452Z</dcterms:modified>
</cp:coreProperties>
</file>

<file path=docProps/custom.xml><?xml version="1.0" encoding="utf-8"?>
<Properties xmlns="http://schemas.openxmlformats.org/officeDocument/2006/custom-properties" xmlns:vt="http://schemas.openxmlformats.org/officeDocument/2006/docPropsVTypes"/>
</file>