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66D08">
      <w:pPr>
        <w:spacing w:after="40"/>
        <w:jc w:val="center"/>
      </w:pPr>
      <w:bookmarkStart w:id="0" w:name="_GoBack"/>
      <w:bookmarkEnd w:id="0"/>
      <w:r>
        <w:rPr>
          <w:rFonts w:ascii="Calibri" w:hAnsi="Calibri" w:eastAsia="Calibri" w:cs="Calibri"/>
          <w:color w:val="595959"/>
          <w:sz w:val="20"/>
          <w:szCs w:val="20"/>
        </w:rPr>
        <w:t>RASIO 10.0 — Padjadjaran Statistics Olympiad</w:t>
      </w:r>
    </w:p>
    <w:p w14:paraId="3877188D">
      <w:pPr>
        <w:spacing w:after="40"/>
        <w:jc w:val="center"/>
      </w:pPr>
      <w:r>
        <w:rPr>
          <w:rFonts w:ascii="Calibri" w:hAnsi="Calibri" w:eastAsia="Calibri" w:cs="Calibri"/>
          <w:b/>
          <w:bCs/>
          <w:sz w:val="30"/>
          <w:szCs w:val="30"/>
        </w:rPr>
        <w:t>Badai Otak Infografis — Draft Latar Belakang &amp; Pembahasan</w:t>
      </w:r>
    </w:p>
    <w:p w14:paraId="139BA425">
      <w:pPr>
        <w:spacing w:after="20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Tema: Food Renaissance — Nourishing a Climate-Proof and Crisis Resilient Southeast Asia</w:t>
      </w:r>
    </w:p>
    <w:p w14:paraId="14CE593E">
      <w:pPr>
        <w:spacing w:after="300"/>
        <w:jc w:val="center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Judul kerja: </w:t>
      </w:r>
      <w:r>
        <w:rPr>
          <w:rFonts w:ascii="Calibri" w:hAnsi="Calibri" w:eastAsia="Calibri" w:cs="Calibri"/>
          <w:i/>
          <w:iCs/>
          <w:sz w:val="22"/>
          <w:szCs w:val="22"/>
        </w:rPr>
        <w:t>“Heat, Harvest &amp; Hunger — Retaknya Kemajuan Ketahanan Pangan di Lumbung Padi ASEAN”</w:t>
      </w:r>
    </w:p>
    <w:p w14:paraId="7BBA7EAD">
      <w:pPr>
        <w:pBdr>
          <w:bottom w:val="single" w:color="BFBFBF" w:sz="6" w:space="1"/>
        </w:pBdr>
        <w:spacing w:before="200" w:after="200"/>
      </w:pPr>
    </w:p>
    <w:p w14:paraId="694F31FA">
      <w:pPr>
        <w:pStyle w:val="2"/>
        <w:spacing w:before="360" w:after="160"/>
      </w:pPr>
      <w:r>
        <w:rPr>
          <w:rFonts w:ascii="Calibri" w:hAnsi="Calibri" w:eastAsia="Calibri" w:cs="Calibri"/>
          <w:b/>
          <w:bCs/>
          <w:color w:val="1F4E29"/>
          <w:sz w:val="30"/>
          <w:szCs w:val="30"/>
        </w:rPr>
        <w:t>A. Pertanyaan Riset</w:t>
      </w:r>
    </w:p>
    <w:p w14:paraId="0070263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>Seberapa timpang pertumbuhan produktivitas padi dan intensitas input pertanian di antara negara-negara produsen padi utama ASEAN sejak 1990–2024?</w:t>
      </w:r>
    </w:p>
    <w:p w14:paraId="7384AE97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>Apakah tren penurunan prevalensi kerawanan gizi (undernourishment) di ASEAN benar-benar konsisten, atau mulai berbalik arah di sejumlah negara sejak 2018?</w:t>
      </w:r>
    </w:p>
    <w:p w14:paraId="7B62CDF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>Negara ASEAN mana yang membentuk klaster “relaps” — risiko kehilangan kembali capaian ketahanan pangan — berdasarkan analisis multivariat (clustering)?</w:t>
      </w:r>
    </w:p>
    <w:p w14:paraId="2F77AE7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>Bagaimana proyeksi tren kerawanan gizi 2023–2027 pada klaster paling rentan tersebut, tepat ketika super El Niño 2026 diperkirakan melanda kawasan?</w:t>
      </w:r>
    </w:p>
    <w:p w14:paraId="375A1FD1">
      <w:pPr>
        <w:pStyle w:val="2"/>
        <w:spacing w:before="360" w:after="160"/>
      </w:pPr>
      <w:r>
        <w:rPr>
          <w:rFonts w:ascii="Calibri" w:hAnsi="Calibri" w:eastAsia="Calibri" w:cs="Calibri"/>
          <w:b/>
          <w:bCs/>
          <w:color w:val="1F4E29"/>
          <w:sz w:val="30"/>
          <w:szCs w:val="30"/>
        </w:rPr>
        <w:t>B. Bagian Infografis (progres saat ini)</w:t>
      </w:r>
    </w:p>
    <w:p w14:paraId="456F86B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Latar Belakang</w:t>
      </w:r>
      <w:r>
        <w:rPr>
          <w:rFonts w:ascii="Calibri" w:hAnsi="Calibri" w:eastAsia="Calibri" w:cs="Calibri"/>
          <w:sz w:val="21"/>
          <w:szCs w:val="21"/>
        </w:rPr>
        <w:t xml:space="preserve"> — draf selesai (bagian ini)</w:t>
      </w:r>
    </w:p>
    <w:p w14:paraId="0FD217E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Pembahasan</w:t>
      </w:r>
      <w:r>
        <w:rPr>
          <w:rFonts w:ascii="Calibri" w:hAnsi="Calibri" w:eastAsia="Calibri" w:cs="Calibri"/>
          <w:sz w:val="21"/>
          <w:szCs w:val="21"/>
        </w:rPr>
        <w:t xml:space="preserve"> — draf selesai (bagian ini)</w:t>
      </w:r>
    </w:p>
    <w:p w14:paraId="49089E08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Solusi &amp; Kesimpulan</w:t>
      </w:r>
      <w:r>
        <w:rPr>
          <w:rFonts w:ascii="Calibri" w:hAnsi="Calibri" w:eastAsia="Calibri" w:cs="Calibri"/>
          <w:sz w:val="21"/>
          <w:szCs w:val="21"/>
        </w:rPr>
        <w:t xml:space="preserve"> — menyusul, dibahas terpisah</w:t>
      </w:r>
    </w:p>
    <w:p w14:paraId="78F88FFF">
      <w:r>
        <w:br w:type="page"/>
      </w:r>
    </w:p>
    <w:p w14:paraId="1AB18824">
      <w:pPr>
        <w:pStyle w:val="2"/>
        <w:spacing w:before="360" w:after="160"/>
      </w:pPr>
      <w:r>
        <w:rPr>
          <w:rFonts w:ascii="Calibri" w:hAnsi="Calibri" w:eastAsia="Calibri" w:cs="Calibri"/>
          <w:b/>
          <w:bCs/>
          <w:color w:val="1F4E29"/>
          <w:sz w:val="30"/>
          <w:szCs w:val="30"/>
        </w:rPr>
        <w:t>Bagian I: Latar Belakang</w:t>
      </w:r>
    </w:p>
    <w:p w14:paraId="2F2AD840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color w:val="2E6B3E"/>
          <w:sz w:val="25"/>
          <w:szCs w:val="25"/>
        </w:rPr>
        <w:t>1. “700 Juta Orang, Satu Butir Beras”</w:t>
      </w:r>
    </w:p>
    <w:p w14:paraId="77A711F6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Prelude</w:t>
      </w:r>
    </w:p>
    <w:p w14:paraId="7A839612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Musim tanam ASEAN 2026 dimulai di bawah bayang-bayang ancaman ganda: </w:t>
      </w:r>
      <w:r>
        <w:rPr>
          <w:rFonts w:ascii="Calibri" w:hAnsi="Calibri" w:eastAsia="Calibri" w:cs="Calibri"/>
          <w:b/>
          <w:bCs/>
          <w:sz w:val="21"/>
          <w:szCs w:val="21"/>
        </w:rPr>
        <w:t>super El Niño</w:t>
      </w:r>
      <w:r>
        <w:rPr>
          <w:rFonts w:ascii="Calibri" w:hAnsi="Calibri" w:eastAsia="Calibri" w:cs="Calibri"/>
          <w:sz w:val="21"/>
          <w:szCs w:val="21"/>
        </w:rPr>
        <w:t xml:space="preserve"> yang diproyeksikan NOAA muncul dengan probabilitas </w:t>
      </w:r>
      <w:r>
        <w:rPr>
          <w:rFonts w:ascii="Calibri" w:hAnsi="Calibri" w:eastAsia="Calibri" w:cs="Calibri"/>
          <w:b/>
          <w:bCs/>
          <w:sz w:val="21"/>
          <w:szCs w:val="21"/>
        </w:rPr>
        <w:t>82%</w:t>
      </w:r>
      <w:r>
        <w:rPr>
          <w:rFonts w:ascii="Calibri" w:hAnsi="Calibri" w:eastAsia="Calibri" w:cs="Calibri"/>
          <w:sz w:val="21"/>
          <w:szCs w:val="21"/>
        </w:rPr>
        <w:t xml:space="preserve"> antara Mei–Juli 2026 dan bertahan hingga Februari 2027, tepat saat beras — sumber </w:t>
      </w:r>
      <w:r>
        <w:rPr>
          <w:rFonts w:ascii="Calibri" w:hAnsi="Calibri" w:eastAsia="Calibri" w:cs="Calibri"/>
          <w:b/>
          <w:bCs/>
          <w:sz w:val="21"/>
          <w:szCs w:val="21"/>
        </w:rPr>
        <w:t>~50% asupan kalori</w:t>
      </w:r>
      <w:r>
        <w:rPr>
          <w:rFonts w:ascii="Calibri" w:hAnsi="Calibri" w:eastAsia="Calibri" w:cs="Calibri"/>
          <w:sz w:val="21"/>
          <w:szCs w:val="21"/>
        </w:rPr>
        <w:t xml:space="preserve"> bagi </w:t>
      </w:r>
      <w:r>
        <w:rPr>
          <w:rFonts w:ascii="Calibri" w:hAnsi="Calibri" w:eastAsia="Calibri" w:cs="Calibri"/>
          <w:b/>
          <w:bCs/>
          <w:sz w:val="21"/>
          <w:szCs w:val="21"/>
        </w:rPr>
        <w:t>700 juta penduduk ASEAN</w:t>
      </w:r>
      <w:r>
        <w:rPr>
          <w:rFonts w:ascii="Calibri" w:hAnsi="Calibri" w:eastAsia="Calibri" w:cs="Calibri"/>
          <w:sz w:val="21"/>
          <w:szCs w:val="21"/>
        </w:rPr>
        <w:t xml:space="preserve"> — memasuki fase paling rentan terhadap panas ekstrem.</w:t>
      </w:r>
    </w:p>
    <w:p w14:paraId="0E388FE2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Data</w:t>
      </w:r>
    </w:p>
    <w:p w14:paraId="0BAA51EE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82% probabilitas</w:t>
      </w:r>
      <w:r>
        <w:rPr>
          <w:rFonts w:ascii="Calibri" w:hAnsi="Calibri" w:eastAsia="Calibri" w:cs="Calibri"/>
          <w:sz w:val="21"/>
          <w:szCs w:val="21"/>
        </w:rPr>
        <w:t xml:space="preserve"> super El Niño muncul Mei–Juli 2026, bertahan hingga Februari 2027 (NOAA)</w:t>
      </w:r>
    </w:p>
    <w:p w14:paraId="69C63FF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Setiap kenaikan </w:t>
      </w:r>
      <w:r>
        <w:rPr>
          <w:rFonts w:ascii="Calibri" w:hAnsi="Calibri" w:eastAsia="Calibri" w:cs="Calibri"/>
          <w:b/>
          <w:bCs/>
          <w:sz w:val="21"/>
          <w:szCs w:val="21"/>
        </w:rPr>
        <w:t>1°C</w:t>
      </w:r>
      <w:r>
        <w:rPr>
          <w:rFonts w:ascii="Calibri" w:hAnsi="Calibri" w:eastAsia="Calibri" w:cs="Calibri"/>
          <w:sz w:val="21"/>
          <w:szCs w:val="21"/>
        </w:rPr>
        <w:t xml:space="preserve"> suhu siang hari memangkas hasil panen padi hingga </w:t>
      </w:r>
      <w:r>
        <w:rPr>
          <w:rFonts w:ascii="Calibri" w:hAnsi="Calibri" w:eastAsia="Calibri" w:cs="Calibri"/>
          <w:b/>
          <w:bCs/>
          <w:sz w:val="21"/>
          <w:szCs w:val="21"/>
        </w:rPr>
        <w:t>6–10%</w:t>
      </w:r>
      <w:r>
        <w:rPr>
          <w:rFonts w:ascii="Calibri" w:hAnsi="Calibri" w:eastAsia="Calibri" w:cs="Calibri"/>
          <w:sz w:val="21"/>
          <w:szCs w:val="21"/>
        </w:rPr>
        <w:t xml:space="preserve"> (ISEAS, 2025)</w:t>
      </w:r>
    </w:p>
    <w:p w14:paraId="73D2F4F7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Indonesia, Vietnam, Thailand menyumbang </w:t>
      </w:r>
      <w:r>
        <w:rPr>
          <w:rFonts w:ascii="Calibri" w:hAnsi="Calibri" w:eastAsia="Calibri" w:cs="Calibri"/>
          <w:b/>
          <w:bCs/>
          <w:sz w:val="21"/>
          <w:szCs w:val="21"/>
        </w:rPr>
        <w:t>≈ 2/3 produksi padi regional</w:t>
      </w:r>
    </w:p>
    <w:p w14:paraId="65466752">
      <w:pPr>
        <w:spacing w:after="60"/>
      </w:pPr>
      <w:r>
        <w:rPr>
          <w:rFonts w:ascii="Calibri" w:hAnsi="Calibri" w:eastAsia="Calibri" w:cs="Calibri"/>
          <w:b/>
          <w:bCs/>
          <w:i/>
          <w:iCs/>
          <w:color w:val="595959"/>
          <w:sz w:val="19"/>
          <w:szCs w:val="19"/>
        </w:rPr>
        <w:t xml:space="preserve">Data: 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>NOAA ENSO outlook; ISEAS Perspective 2025/48</w:t>
      </w:r>
    </w:p>
    <w:p w14:paraId="4B550AE2">
      <w:pPr>
        <w:spacing w:after="40"/>
      </w:pPr>
      <w:r>
        <w:rPr>
          <w:rFonts w:ascii="Calibri" w:hAnsi="Calibri" w:eastAsia="Calibri" w:cs="Calibri"/>
          <w:color w:val="1155CC"/>
          <w:sz w:val="19"/>
          <w:szCs w:val="19"/>
          <w:u w:val="single"/>
        </w:rPr>
        <w:t>https://www.iseas.edu.sg/articles-commentaries/iseas-perspective/2025-48-the-critical-impact-of-extreme-heat-on-rice-production-in-southeast-asia-by-elyssa-ludher/</w:t>
      </w:r>
    </w:p>
    <w:p w14:paraId="3D4D852E">
      <w:pPr>
        <w:spacing w:after="40"/>
      </w:pPr>
      <w:r>
        <w:rPr>
          <w:rFonts w:ascii="Calibri" w:hAnsi="Calibri" w:eastAsia="Calibri" w:cs="Calibri"/>
          <w:color w:val="1155CC"/>
          <w:sz w:val="19"/>
          <w:szCs w:val="19"/>
          <w:u w:val="single"/>
        </w:rPr>
        <w:t>https://www.thestar.com.my/business/business-news/2026/06/01/risks-of-food-inflation-mount-for-southeast-asia</w:t>
      </w:r>
    </w:p>
    <w:p w14:paraId="3E90A3BC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Visualisasi</w:t>
      </w:r>
    </w:p>
    <w:p w14:paraId="55F18EE7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>Peta ASEAN dengan ikon padi + overlay proyeksi anomali suhu, dikelilingi angka besar “700 JUTA” dan “82%” sebagai hook pembuka.</w:t>
      </w:r>
    </w:p>
    <w:p w14:paraId="017A39EF">
      <w:pPr>
        <w:pBdr>
          <w:bottom w:val="single" w:color="BFBFBF" w:sz="6" w:space="1"/>
        </w:pBdr>
        <w:spacing w:before="200" w:after="200"/>
      </w:pPr>
    </w:p>
    <w:p w14:paraId="150887E9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color w:val="2E6B3E"/>
          <w:sz w:val="25"/>
          <w:szCs w:val="25"/>
        </w:rPr>
        <w:t>2. “Panen yang Tertinggal” — Kesenjangan Produktivitas Padi ASEAN (1990–2024)</w:t>
      </w:r>
    </w:p>
    <w:p w14:paraId="475677A3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Prelude</w:t>
      </w:r>
    </w:p>
    <w:p w14:paraId="1055D09E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Data resmi OWID (FAO) menunjukkan kesenjangan mencolok: sementara Kamboja dan Vietnam melesatkan produktivitas padinya dalam tiga dekade terakhir, </w:t>
      </w:r>
      <w:r>
        <w:rPr>
          <w:rFonts w:ascii="Calibri" w:hAnsi="Calibri" w:eastAsia="Calibri" w:cs="Calibri"/>
          <w:b/>
          <w:bCs/>
          <w:sz w:val="21"/>
          <w:szCs w:val="21"/>
        </w:rPr>
        <w:t>Indonesia — produsen dan konsumen beras terbesar ASEAN — justru mencatat pertumbuhan paling lambat di kawasan.</w:t>
      </w:r>
      <w:r>
        <w:rPr>
          <w:rFonts w:ascii="Calibri" w:hAnsi="Calibri" w:eastAsia="Calibri" w:cs="Calibri"/>
          <w:sz w:val="21"/>
          <w:szCs w:val="21"/>
        </w:rPr>
        <w:t xml:space="preserve"> Ironi ini penting: negara dengan ketergantungan beras terbesar bukan negara dengan adaptasi produktivitas tercepat.</w:t>
      </w:r>
    </w:p>
    <w:p w14:paraId="44A621D5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Data (dihitung dari data mentah OWID, rice yields, tonnes/hektare)</w:t>
      </w:r>
    </w:p>
    <w:tbl>
      <w:tblPr>
        <w:tblStyle w:val="9"/>
        <w:tblW w:w="8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600"/>
        <w:gridCol w:w="1600"/>
        <w:gridCol w:w="1600"/>
        <w:gridCol w:w="1600"/>
      </w:tblGrid>
      <w:tr w14:paraId="37B7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5357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Negara</w:t>
            </w:r>
          </w:p>
        </w:tc>
        <w:tc>
          <w:tcPr>
            <w:tcW w:w="16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2FE8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1990 (t/ha)</w:t>
            </w:r>
          </w:p>
        </w:tc>
        <w:tc>
          <w:tcPr>
            <w:tcW w:w="16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4201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2024 (t/ha)</w:t>
            </w:r>
          </w:p>
        </w:tc>
        <w:tc>
          <w:tcPr>
            <w:tcW w:w="16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DF1C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Perubahan</w:t>
            </w:r>
          </w:p>
        </w:tc>
        <w:tc>
          <w:tcPr>
            <w:tcW w:w="16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58DB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CAGR/tahun</w:t>
            </w:r>
          </w:p>
        </w:tc>
      </w:tr>
      <w:tr w14:paraId="65EF9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ADEE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Kamboja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5F66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1.35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D9F46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3.64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3BAC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+170%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80B7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2.97%</w:t>
            </w:r>
          </w:p>
        </w:tc>
      </w:tr>
      <w:tr w14:paraId="1CC9C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EC52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Vietnam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16416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3.18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3A7A7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6.15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B4B95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+93%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67D18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1.96%</w:t>
            </w:r>
          </w:p>
        </w:tc>
      </w:tr>
      <w:tr w14:paraId="02CA0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02FA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Laos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7AAC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2.29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C001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E0C2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+79%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CDE0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1.73%</w:t>
            </w:r>
          </w:p>
        </w:tc>
      </w:tr>
      <w:tr w14:paraId="7162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CEC2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Thailand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DEA17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1.96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46BA1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C6F1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+53%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50F3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1.25%</w:t>
            </w:r>
          </w:p>
        </w:tc>
      </w:tr>
      <w:tr w14:paraId="7A5D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820C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Filipina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C18D8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B08D4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7174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+38%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8D5CE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0.95%</w:t>
            </w:r>
          </w:p>
        </w:tc>
      </w:tr>
      <w:tr w14:paraId="7198D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2007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Myanmar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DB91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2.94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B2E31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3.94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A04B4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+34%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469D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0.87%</w:t>
            </w:r>
          </w:p>
        </w:tc>
      </w:tr>
      <w:tr w14:paraId="71DDA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BB27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Malaysia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D42E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2.77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E028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3.54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99F5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+28%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BB0D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0.73%</w:t>
            </w:r>
          </w:p>
        </w:tc>
      </w:tr>
      <w:tr w14:paraId="5212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2146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Indonesia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AC2C5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4.30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286A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5.29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0EF0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+23%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EE98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0.61%</w:t>
            </w:r>
          </w:p>
        </w:tc>
      </w:tr>
    </w:tbl>
    <w:p w14:paraId="457940D0">
      <w:pPr>
        <w:spacing w:after="120" w:line="300" w:lineRule="auto"/>
      </w:pPr>
    </w:p>
    <w:p w14:paraId="39E83E35">
      <w:pPr>
        <w:spacing w:after="60"/>
      </w:pPr>
      <w:r>
        <w:rPr>
          <w:rFonts w:ascii="Calibri" w:hAnsi="Calibri" w:eastAsia="Calibri" w:cs="Calibri"/>
          <w:b/>
          <w:bCs/>
          <w:i/>
          <w:iCs/>
          <w:color w:val="595959"/>
          <w:sz w:val="19"/>
          <w:szCs w:val="19"/>
        </w:rPr>
        <w:t xml:space="preserve">Data: 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>Our World in Data — “Rice yields” (bersumber FAO)</w:t>
      </w:r>
    </w:p>
    <w:p w14:paraId="7D0796E7">
      <w:pPr>
        <w:spacing w:after="40"/>
      </w:pPr>
      <w:r>
        <w:rPr>
          <w:rFonts w:ascii="Calibri" w:hAnsi="Calibri" w:eastAsia="Calibri" w:cs="Calibri"/>
          <w:color w:val="1155CC"/>
          <w:sz w:val="19"/>
          <w:szCs w:val="19"/>
          <w:u w:val="single"/>
        </w:rPr>
        <w:t>https://ourworldindata.org/grapher/rice-yields</w:t>
      </w:r>
    </w:p>
    <w:p w14:paraId="0724CFCE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Visualisasi</w:t>
      </w:r>
    </w:p>
    <w:p w14:paraId="2B71502A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>Horizontal ranked bar chart (slope tertinggi → terendah), Indonesia diberi warna kontras/highlight sebagai “ironi” utama panel ini.</w:t>
      </w:r>
    </w:p>
    <w:p w14:paraId="19DC1662">
      <w:pPr>
        <w:pBdr>
          <w:bottom w:val="single" w:color="BFBFBF" w:sz="6" w:space="1"/>
        </w:pBdr>
        <w:spacing w:before="200" w:after="200"/>
      </w:pPr>
    </w:p>
    <w:p w14:paraId="130C81C2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color w:val="2E6B3E"/>
          <w:sz w:val="25"/>
          <w:szCs w:val="25"/>
        </w:rPr>
        <w:t>3. “Dua Kecepatan yang Berbeda” — Kesenjangan Intensitas Input Pertanian</w:t>
      </w:r>
    </w:p>
    <w:p w14:paraId="19830719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Prelude</w:t>
      </w:r>
    </w:p>
    <w:p w14:paraId="689ABB30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Di balik angka pertumbuhan pupuk yang terlihat fantastis di Myanmar, Kamboja, dan Laos, tersembunyi fakta bahwa lonjakan itu dimulai dari </w:t>
      </w:r>
      <w:r>
        <w:rPr>
          <w:rFonts w:ascii="Calibri" w:hAnsi="Calibri" w:eastAsia="Calibri" w:cs="Calibri"/>
          <w:b/>
          <w:bCs/>
          <w:sz w:val="21"/>
          <w:szCs w:val="21"/>
        </w:rPr>
        <w:t>basis yang nyaris nol</w:t>
      </w:r>
      <w:r>
        <w:rPr>
          <w:rFonts w:ascii="Calibri" w:hAnsi="Calibri" w:eastAsia="Calibri" w:cs="Calibri"/>
          <w:sz w:val="21"/>
          <w:szCs w:val="21"/>
        </w:rPr>
        <w:t xml:space="preserve">. Kesenjangan intensitas input pertanian antarnegara ASEAN pada 2021 tetap lebar — hingga </w:t>
      </w:r>
      <w:r>
        <w:rPr>
          <w:rFonts w:ascii="Calibri" w:hAnsi="Calibri" w:eastAsia="Calibri" w:cs="Calibri"/>
          <w:b/>
          <w:bCs/>
          <w:sz w:val="21"/>
          <w:szCs w:val="21"/>
        </w:rPr>
        <w:t>8 kali lipat</w:t>
      </w:r>
      <w:r>
        <w:rPr>
          <w:rFonts w:ascii="Calibri" w:hAnsi="Calibri" w:eastAsia="Calibri" w:cs="Calibri"/>
          <w:sz w:val="21"/>
          <w:szCs w:val="21"/>
        </w:rPr>
        <w:t>.</w:t>
      </w:r>
    </w:p>
    <w:p w14:paraId="61A60391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Data (OWID, fertilizer use per hectare of cropland, kg/ha)</w:t>
      </w:r>
    </w:p>
    <w:tbl>
      <w:tblPr>
        <w:tblStyle w:val="9"/>
        <w:tblW w:w="6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600"/>
        <w:gridCol w:w="1600"/>
        <w:gridCol w:w="1900"/>
      </w:tblGrid>
      <w:tr w14:paraId="2111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ED67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Negara</w:t>
            </w:r>
          </w:p>
        </w:tc>
        <w:tc>
          <w:tcPr>
            <w:tcW w:w="16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3B6D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2002</w:t>
            </w:r>
          </w:p>
        </w:tc>
        <w:tc>
          <w:tcPr>
            <w:tcW w:w="16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42B8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2021</w:t>
            </w:r>
          </w:p>
        </w:tc>
        <w:tc>
          <w:tcPr>
            <w:tcW w:w="19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9444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Perubahan</w:t>
            </w:r>
          </w:p>
        </w:tc>
      </w:tr>
      <w:tr w14:paraId="72B4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2224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Myanmar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D7DF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4.0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AD74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34.0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F7038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+752%</w:t>
            </w:r>
          </w:p>
        </w:tc>
      </w:tr>
      <w:tr w14:paraId="7F22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62B0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Kamboja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4ED71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39CC4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44.2</w:t>
            </w:r>
          </w:p>
        </w:tc>
        <w:tc>
          <w:tcPr>
            <w:tcW w:w="19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40D91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+562%</w:t>
            </w:r>
          </w:p>
        </w:tc>
      </w:tr>
      <w:tr w14:paraId="42B3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56DA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Laos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7E2E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9.9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C1FE8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57.6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1BB47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+480%</w:t>
            </w:r>
          </w:p>
        </w:tc>
      </w:tr>
      <w:tr w14:paraId="6E70A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B63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Indonesia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AE81D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71.2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25B16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154.8</w:t>
            </w:r>
          </w:p>
        </w:tc>
        <w:tc>
          <w:tcPr>
            <w:tcW w:w="19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3E18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+117%</w:t>
            </w:r>
          </w:p>
        </w:tc>
      </w:tr>
      <w:tr w14:paraId="43BC4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28B5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Filipina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9D254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71.4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DFB6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116.0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65425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+63%</w:t>
            </w:r>
          </w:p>
        </w:tc>
      </w:tr>
      <w:tr w14:paraId="5B7B4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A639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Thailand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A975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83.6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780F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109.2</w:t>
            </w:r>
          </w:p>
        </w:tc>
        <w:tc>
          <w:tcPr>
            <w:tcW w:w="19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008D8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+31%</w:t>
            </w:r>
          </w:p>
        </w:tc>
      </w:tr>
      <w:tr w14:paraId="771A1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5E6F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Malaysia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9B73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169.6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7BA85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214.0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7220D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+26%</w:t>
            </w:r>
          </w:p>
        </w:tc>
      </w:tr>
      <w:tr w14:paraId="7F4CC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C94F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Vietnam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008B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221.3</w:t>
            </w:r>
          </w:p>
        </w:tc>
        <w:tc>
          <w:tcPr>
            <w:tcW w:w="16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B8AF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266.7</w:t>
            </w:r>
          </w:p>
        </w:tc>
        <w:tc>
          <w:tcPr>
            <w:tcW w:w="19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C6BD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+21%</w:t>
            </w:r>
          </w:p>
        </w:tc>
      </w:tr>
    </w:tbl>
    <w:p w14:paraId="3613561F">
      <w:pPr>
        <w:spacing w:after="120" w:line="300" w:lineRule="auto"/>
      </w:pPr>
    </w:p>
    <w:p w14:paraId="1C18313A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Level 2021: Vietnam </w:t>
      </w:r>
      <w:r>
        <w:rPr>
          <w:rFonts w:ascii="Calibri" w:hAnsi="Calibri" w:eastAsia="Calibri" w:cs="Calibri"/>
          <w:b/>
          <w:bCs/>
          <w:sz w:val="21"/>
          <w:szCs w:val="21"/>
        </w:rPr>
        <w:t>266.7 kg/ha</w:t>
      </w:r>
      <w:r>
        <w:rPr>
          <w:rFonts w:ascii="Calibri" w:hAnsi="Calibri" w:eastAsia="Calibri" w:cs="Calibri"/>
          <w:sz w:val="21"/>
          <w:szCs w:val="21"/>
        </w:rPr>
        <w:t xml:space="preserve"> vs Myanmar hanya </w:t>
      </w:r>
      <w:r>
        <w:rPr>
          <w:rFonts w:ascii="Calibri" w:hAnsi="Calibri" w:eastAsia="Calibri" w:cs="Calibri"/>
          <w:b/>
          <w:bCs/>
          <w:sz w:val="21"/>
          <w:szCs w:val="21"/>
        </w:rPr>
        <w:t>34.0 kg/ha</w:t>
      </w:r>
      <w:r>
        <w:rPr>
          <w:rFonts w:ascii="Calibri" w:hAnsi="Calibri" w:eastAsia="Calibri" w:cs="Calibri"/>
          <w:sz w:val="21"/>
          <w:szCs w:val="21"/>
        </w:rPr>
        <w:t xml:space="preserve"> — selisih </w:t>
      </w:r>
      <w:r>
        <w:rPr>
          <w:rFonts w:ascii="Calibri" w:hAnsi="Calibri" w:eastAsia="Calibri" w:cs="Calibri"/>
          <w:b/>
          <w:bCs/>
          <w:sz w:val="21"/>
          <w:szCs w:val="21"/>
        </w:rPr>
        <w:t>~8x lipat</w:t>
      </w:r>
    </w:p>
    <w:p w14:paraId="764F578F">
      <w:pPr>
        <w:spacing w:after="60"/>
      </w:pPr>
      <w:r>
        <w:rPr>
          <w:rFonts w:ascii="Calibri" w:hAnsi="Calibri" w:eastAsia="Calibri" w:cs="Calibri"/>
          <w:b/>
          <w:bCs/>
          <w:i/>
          <w:iCs/>
          <w:color w:val="595959"/>
          <w:sz w:val="19"/>
          <w:szCs w:val="19"/>
        </w:rPr>
        <w:t xml:space="preserve">Data: 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>Our World in Data — “Fertilizer use per hectare of cropland”</w:t>
      </w:r>
    </w:p>
    <w:p w14:paraId="34E82648">
      <w:pPr>
        <w:spacing w:after="40"/>
      </w:pPr>
      <w:r>
        <w:rPr>
          <w:rFonts w:ascii="Calibri" w:hAnsi="Calibri" w:eastAsia="Calibri" w:cs="Calibri"/>
          <w:color w:val="1155CC"/>
          <w:sz w:val="19"/>
          <w:szCs w:val="19"/>
          <w:u w:val="single"/>
        </w:rPr>
        <w:t>https://ourworldindata.org/grapher/fertilizer-use-per-hectare-of-cropland</w:t>
      </w:r>
    </w:p>
    <w:p w14:paraId="289AB3A0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Visualisasi</w:t>
      </w:r>
    </w:p>
    <w:p w14:paraId="391A3443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>Dumbbell / slope chart 2002 vs 2021 per negara, diurutkan berdasarkan level 2021, untuk menonjolkan kesenjangan absolut yang tak tertutup oleh persentase pertumbuhan yang tinggi.</w:t>
      </w:r>
    </w:p>
    <w:p w14:paraId="17F635EB">
      <w:pPr>
        <w:pBdr>
          <w:bottom w:val="single" w:color="BFBFBF" w:sz="6" w:space="1"/>
        </w:pBdr>
        <w:spacing w:before="200" w:after="200"/>
      </w:pPr>
    </w:p>
    <w:p w14:paraId="13050393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color w:val="2E6B3E"/>
          <w:sz w:val="25"/>
          <w:szCs w:val="25"/>
        </w:rPr>
        <w:t>4. “Kemenangan yang Mulai Retak” — Tren Kerawanan Gizi ASEAN Berbalik Arah</w:t>
      </w:r>
    </w:p>
    <w:p w14:paraId="5438B67D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Prelude</w:t>
      </w:r>
    </w:p>
    <w:p w14:paraId="1CBA3D54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Selama hampir dua dekade, ASEAN mencatat salah satu penurunan kerawanan gizi tercepat di dunia — dari </w:t>
      </w:r>
      <w:r>
        <w:rPr>
          <w:rFonts w:ascii="Calibri" w:hAnsi="Calibri" w:eastAsia="Calibri" w:cs="Calibri"/>
          <w:b/>
          <w:bCs/>
          <w:sz w:val="21"/>
          <w:szCs w:val="21"/>
        </w:rPr>
        <w:t>17,2% (2004)</w:t>
      </w:r>
      <w:r>
        <w:rPr>
          <w:rFonts w:ascii="Calibri" w:hAnsi="Calibri" w:eastAsia="Calibri" w:cs="Calibri"/>
          <w:sz w:val="21"/>
          <w:szCs w:val="21"/>
        </w:rPr>
        <w:t xml:space="preserve"> menjadi titik terendah </w:t>
      </w:r>
      <w:r>
        <w:rPr>
          <w:rFonts w:ascii="Calibri" w:hAnsi="Calibri" w:eastAsia="Calibri" w:cs="Calibri"/>
          <w:b/>
          <w:bCs/>
          <w:sz w:val="21"/>
          <w:szCs w:val="21"/>
        </w:rPr>
        <w:t>5,2% (2022)</w:t>
      </w:r>
      <w:r>
        <w:rPr>
          <w:rFonts w:ascii="Calibri" w:hAnsi="Calibri" w:eastAsia="Calibri" w:cs="Calibri"/>
          <w:sz w:val="21"/>
          <w:szCs w:val="21"/>
        </w:rPr>
        <w:t xml:space="preserve"> secara rata-rata regional (FAO/OWID). Namun di balik rata-rata itu, tren </w:t>
      </w:r>
      <w:r>
        <w:rPr>
          <w:rFonts w:ascii="Calibri" w:hAnsi="Calibri" w:eastAsia="Calibri" w:cs="Calibri"/>
          <w:b/>
          <w:bCs/>
          <w:sz w:val="21"/>
          <w:szCs w:val="21"/>
        </w:rPr>
        <w:t>mendatar sejak 2019</w:t>
      </w:r>
      <w:r>
        <w:rPr>
          <w:rFonts w:ascii="Calibri" w:hAnsi="Calibri" w:eastAsia="Calibri" w:cs="Calibri"/>
          <w:sz w:val="21"/>
          <w:szCs w:val="21"/>
        </w:rPr>
        <w:t xml:space="preserve">, dan pada level negara, </w:t>
      </w:r>
      <w:r>
        <w:rPr>
          <w:rFonts w:ascii="Calibri" w:hAnsi="Calibri" w:eastAsia="Calibri" w:cs="Calibri"/>
          <w:b/>
          <w:bCs/>
          <w:sz w:val="21"/>
          <w:szCs w:val="21"/>
        </w:rPr>
        <w:t>tiga dari tujuh negara justru mulai membalik naik</w:t>
      </w:r>
      <w:r>
        <w:rPr>
          <w:rFonts w:ascii="Calibri" w:hAnsi="Calibri" w:eastAsia="Calibri" w:cs="Calibri"/>
          <w:sz w:val="21"/>
          <w:szCs w:val="21"/>
        </w:rPr>
        <w:t xml:space="preserve"> sejak 2018 — persis ketika risiko iklim mulai terasa.</w:t>
      </w:r>
    </w:p>
    <w:p w14:paraId="7D71BCA3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Data (OWID, prevalence of undernourishment, %)</w:t>
      </w:r>
    </w:p>
    <w:tbl>
      <w:tblPr>
        <w:tblStyle w:val="9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1200"/>
        <w:gridCol w:w="1700"/>
        <w:gridCol w:w="1400"/>
      </w:tblGrid>
      <w:tr w14:paraId="313122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6143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Negara</w:t>
            </w:r>
          </w:p>
        </w:tc>
        <w:tc>
          <w:tcPr>
            <w:tcW w:w="20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5687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Titik terendah</w:t>
            </w:r>
          </w:p>
        </w:tc>
        <w:tc>
          <w:tcPr>
            <w:tcW w:w="12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8C8B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2022</w:t>
            </w:r>
          </w:p>
        </w:tc>
        <w:tc>
          <w:tcPr>
            <w:tcW w:w="17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3DA3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Slope 2018–2022</w:t>
            </w:r>
          </w:p>
        </w:tc>
        <w:tc>
          <w:tcPr>
            <w:tcW w:w="14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118A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14:paraId="11C90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7163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Myanmar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3E866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3.2% (2019)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2B231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5.2%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9DD0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+0.48 pp/th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2E03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REVERSAL</w:t>
            </w:r>
          </w:p>
        </w:tc>
      </w:tr>
      <w:tr w14:paraId="7B644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0D7A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Indonesia</w:t>
            </w:r>
          </w:p>
        </w:tc>
        <w:tc>
          <w:tcPr>
            <w:tcW w:w="20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0AC94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6.0% (2017)</w:t>
            </w:r>
          </w:p>
        </w:tc>
        <w:tc>
          <w:tcPr>
            <w:tcW w:w="12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D2B3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6.6%</w:t>
            </w:r>
          </w:p>
        </w:tc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10728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+0.14 pp/th</w:t>
            </w:r>
          </w:p>
        </w:tc>
        <w:tc>
          <w:tcPr>
            <w:tcW w:w="14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8092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REVERSAL</w:t>
            </w:r>
          </w:p>
        </w:tc>
      </w:tr>
      <w:tr w14:paraId="5DE29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C47A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Kamboja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48FC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5.4% (2019)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7D42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5.8%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B1CA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+0.11 pp/th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C1C2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REVERSAL</w:t>
            </w:r>
          </w:p>
        </w:tc>
      </w:tr>
      <w:tr w14:paraId="5D02E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A5FF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Malaysia</w:t>
            </w:r>
          </w:p>
        </w:tc>
        <w:tc>
          <w:tcPr>
            <w:tcW w:w="20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4FB1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2.5% (2001)</w:t>
            </w:r>
          </w:p>
        </w:tc>
        <w:tc>
          <w:tcPr>
            <w:tcW w:w="12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F2854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2.5%</w:t>
            </w:r>
          </w:p>
        </w:tc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C8C2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−0.11 pp/th</w:t>
            </w:r>
          </w:p>
        </w:tc>
        <w:tc>
          <w:tcPr>
            <w:tcW w:w="14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AC7B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membaik</w:t>
            </w:r>
          </w:p>
        </w:tc>
      </w:tr>
      <w:tr w14:paraId="79D2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E806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Vietnam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6227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5.4% (2022)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91DD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5.4%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36C1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−0.38 pp/th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EB91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membaik</w:t>
            </w:r>
          </w:p>
        </w:tc>
      </w:tr>
      <w:tr w14:paraId="7E6DB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A61B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Thailand</w:t>
            </w:r>
          </w:p>
        </w:tc>
        <w:tc>
          <w:tcPr>
            <w:tcW w:w="20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4093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5.1% (2022)</w:t>
            </w:r>
          </w:p>
        </w:tc>
        <w:tc>
          <w:tcPr>
            <w:tcW w:w="12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1709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5.1%</w:t>
            </w:r>
          </w:p>
        </w:tc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A258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−0.64 pp/th</w:t>
            </w:r>
          </w:p>
        </w:tc>
        <w:tc>
          <w:tcPr>
            <w:tcW w:w="14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0DEE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membaik</w:t>
            </w:r>
          </w:p>
        </w:tc>
      </w:tr>
      <w:tr w14:paraId="678BA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E8AF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Filipina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9EE5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3.5% (2022)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BEE9D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3.5%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B06C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−0.70 pp/th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D05AE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membaik</w:t>
            </w:r>
          </w:p>
        </w:tc>
      </w:tr>
      <w:tr w14:paraId="5B2B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81A6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Laos</w:t>
            </w:r>
          </w:p>
        </w:tc>
        <w:tc>
          <w:tcPr>
            <w:tcW w:w="20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5E47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data tidak tersedia (FAO/OWID)</w:t>
            </w:r>
          </w:p>
        </w:tc>
        <w:tc>
          <w:tcPr>
            <w:tcW w:w="12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93BF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0B5C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4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9BC0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blind spot</w:t>
            </w:r>
          </w:p>
        </w:tc>
      </w:tr>
    </w:tbl>
    <w:p w14:paraId="08D89EC2">
      <w:pPr>
        <w:spacing w:after="120" w:line="300" w:lineRule="auto"/>
      </w:pPr>
    </w:p>
    <w:p w14:paraId="20240FE8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Laos tidak memiliki data undernourishment yang dipublikasikan FAO/OWID — sebuah </w:t>
      </w:r>
      <w:r>
        <w:rPr>
          <w:rFonts w:ascii="Calibri" w:hAnsi="Calibri" w:eastAsia="Calibri" w:cs="Calibri"/>
          <w:b/>
          <w:bCs/>
          <w:sz w:val="21"/>
          <w:szCs w:val="21"/>
        </w:rPr>
        <w:t>celah pemantauan</w:t>
      </w:r>
      <w:r>
        <w:rPr>
          <w:rFonts w:ascii="Calibri" w:hAnsi="Calibri" w:eastAsia="Calibri" w:cs="Calibri"/>
          <w:sz w:val="21"/>
          <w:szCs w:val="21"/>
        </w:rPr>
        <w:t xml:space="preserve"> yang layak disorot sebagai kerentanan tersendiri.</w:t>
      </w:r>
    </w:p>
    <w:p w14:paraId="03001FB8">
      <w:pPr>
        <w:spacing w:after="60"/>
      </w:pPr>
      <w:r>
        <w:rPr>
          <w:rFonts w:ascii="Calibri" w:hAnsi="Calibri" w:eastAsia="Calibri" w:cs="Calibri"/>
          <w:b/>
          <w:bCs/>
          <w:i/>
          <w:iCs/>
          <w:color w:val="595959"/>
          <w:sz w:val="19"/>
          <w:szCs w:val="19"/>
        </w:rPr>
        <w:t xml:space="preserve">Data: 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>Our World in Data — “Share of people who are undernourished” (FAO)</w:t>
      </w:r>
    </w:p>
    <w:p w14:paraId="2855085D">
      <w:pPr>
        <w:spacing w:after="40"/>
      </w:pPr>
      <w:r>
        <w:rPr>
          <w:rFonts w:ascii="Calibri" w:hAnsi="Calibri" w:eastAsia="Calibri" w:cs="Calibri"/>
          <w:color w:val="1155CC"/>
          <w:sz w:val="19"/>
          <w:szCs w:val="19"/>
          <w:u w:val="single"/>
        </w:rPr>
        <w:t>https://ourworldindata.org/grapher/prevalence-of-undernourishment</w:t>
      </w:r>
    </w:p>
    <w:p w14:paraId="240F9B16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Visualisasi</w:t>
      </w:r>
    </w:p>
    <w:p w14:paraId="45B03052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>Small-multiples line chart 7 negara (garis vertikal penanda tahun 2018 sebagai titik infleksi), dengan garis putus-putus “ASEAN rata-rata” sebagai konteks; 3 negara reversal diberi warna merah/oranye, 4 negara membaik diberi warna hijau.</w:t>
      </w:r>
    </w:p>
    <w:p w14:paraId="72A27AF6">
      <w:r>
        <w:br w:type="page"/>
      </w:r>
    </w:p>
    <w:p w14:paraId="5C8E9C35">
      <w:pPr>
        <w:pStyle w:val="2"/>
        <w:spacing w:before="360" w:after="160"/>
      </w:pPr>
      <w:r>
        <w:rPr>
          <w:rFonts w:ascii="Calibri" w:hAnsi="Calibri" w:eastAsia="Calibri" w:cs="Calibri"/>
          <w:b/>
          <w:bCs/>
          <w:color w:val="1F4E29"/>
          <w:sz w:val="30"/>
          <w:szCs w:val="30"/>
        </w:rPr>
        <w:t>Bagian II: Pembahasan</w:t>
      </w:r>
    </w:p>
    <w:p w14:paraId="23194E97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color w:val="2E6B3E"/>
          <w:sz w:val="25"/>
          <w:szCs w:val="25"/>
        </w:rPr>
        <w:t>5. Memetakan Klaster Kerentanan Pangan ASEAN (K-Means &amp; Hierarchical Clustering)</w:t>
      </w:r>
    </w:p>
    <w:p w14:paraId="7D34CB0A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Prelude</w:t>
      </w:r>
    </w:p>
    <w:p w14:paraId="3772CF50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Jika rata-rata regional membaik, apakah seluruh ASEAN benar-benar bergerak searah? Analisis klaster multivariat terhadap 7 negara (Laos dikeluarkan karena data undernourishment tidak tersedia), menggunakan empat indikator — </w:t>
      </w:r>
      <w:r>
        <w:rPr>
          <w:rFonts w:ascii="Calibri" w:hAnsi="Calibri" w:eastAsia="Calibri" w:cs="Calibri"/>
          <w:b/>
          <w:bCs/>
          <w:sz w:val="21"/>
          <w:szCs w:val="21"/>
        </w:rPr>
        <w:t>pertumbuhan produktivitas padi (CAGR 1990–2024), intensitas pupuk 2021, level undernourishment 2022, dan tren undernourishment 2018–2022</w:t>
      </w:r>
      <w:r>
        <w:rPr>
          <w:rFonts w:ascii="Calibri" w:hAnsi="Calibri" w:eastAsia="Calibri" w:cs="Calibri"/>
          <w:sz w:val="21"/>
          <w:szCs w:val="21"/>
        </w:rPr>
        <w:t xml:space="preserve"> — membongkar bahwa kemajuan regional menyembunyikan perpecahan nyata di tingkat negara.</w:t>
      </w:r>
    </w:p>
    <w:p w14:paraId="44269CC6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Hasil Analisis</w:t>
      </w:r>
    </w:p>
    <w:p w14:paraId="20E48502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>Fitur distandardisasi (z-score) sebelum clustering agar skala antar-indikator (t/ha, kg/ha, %, pp/tahun) tidak saling mendominasi.</w:t>
      </w:r>
    </w:p>
    <w:p w14:paraId="17B5E6D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K-Means diuji pada k=2 dan k=3 — </w:t>
      </w:r>
      <w:r>
        <w:rPr>
          <w:rFonts w:ascii="Calibri" w:hAnsi="Calibri" w:eastAsia="Calibri" w:cs="Calibri"/>
          <w:b/>
          <w:bCs/>
          <w:sz w:val="21"/>
          <w:szCs w:val="21"/>
        </w:rPr>
        <w:t>k=2 terpilih</w:t>
      </w:r>
      <w:r>
        <w:rPr>
          <w:rFonts w:ascii="Calibri" w:hAnsi="Calibri" w:eastAsia="Calibri" w:cs="Calibri"/>
          <w:sz w:val="21"/>
          <w:szCs w:val="21"/>
        </w:rPr>
        <w:t xml:space="preserve"> dengan </w:t>
      </w:r>
      <w:r>
        <w:rPr>
          <w:rFonts w:ascii="Calibri" w:hAnsi="Calibri" w:eastAsia="Calibri" w:cs="Calibri"/>
          <w:b/>
          <w:bCs/>
          <w:sz w:val="21"/>
          <w:szCs w:val="21"/>
        </w:rPr>
        <w:t>Silhouette Score = 0,233</w:t>
      </w:r>
      <w:r>
        <w:rPr>
          <w:rFonts w:ascii="Calibri" w:hAnsi="Calibri" w:eastAsia="Calibri" w:cs="Calibri"/>
          <w:sz w:val="21"/>
          <w:szCs w:val="21"/>
        </w:rPr>
        <w:t xml:space="preserve"> (k=3 hanya 0,224).</w:t>
      </w:r>
    </w:p>
    <w:p w14:paraId="04C1281A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Hasil clustering </w:t>
      </w:r>
      <w:r>
        <w:rPr>
          <w:rFonts w:ascii="Calibri" w:hAnsi="Calibri" w:eastAsia="Calibri" w:cs="Calibri"/>
          <w:b/>
          <w:bCs/>
          <w:sz w:val="21"/>
          <w:szCs w:val="21"/>
        </w:rPr>
        <w:t>dikonfirmasi silang</w:t>
      </w:r>
      <w:r>
        <w:rPr>
          <w:rFonts w:ascii="Calibri" w:hAnsi="Calibri" w:eastAsia="Calibri" w:cs="Calibri"/>
          <w:sz w:val="21"/>
          <w:szCs w:val="21"/>
        </w:rPr>
        <w:t xml:space="preserve"> dengan Hierarchical Clustering (Ward linkage) — kedua metode menghasilkan pembagian negara yang identik.</w:t>
      </w:r>
    </w:p>
    <w:p w14:paraId="531DC15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PCA 2 komponen menjelaskan </w:t>
      </w:r>
      <w:r>
        <w:rPr>
          <w:rFonts w:ascii="Calibri" w:hAnsi="Calibri" w:eastAsia="Calibri" w:cs="Calibri"/>
          <w:b/>
          <w:bCs/>
          <w:sz w:val="21"/>
          <w:szCs w:val="21"/>
        </w:rPr>
        <w:t>70,5%</w:t>
      </w:r>
      <w:r>
        <w:rPr>
          <w:rFonts w:ascii="Calibri" w:hAnsi="Calibri" w:eastAsia="Calibri" w:cs="Calibri"/>
          <w:sz w:val="21"/>
          <w:szCs w:val="21"/>
        </w:rPr>
        <w:t xml:space="preserve"> variansi total (PC1 = 44,6%, PC2 = 25,9%), cukup untuk visualisasi 2D yang representatif.</w:t>
      </w:r>
    </w:p>
    <w:p w14:paraId="14574865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Klaster 0 — “Relaps” (Indonesia, Myanmar, Kamboja)</w:t>
      </w:r>
    </w:p>
    <w:p w14:paraId="2561CF7D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Ciri pemersatu klaster ini </w:t>
      </w:r>
      <w:r>
        <w:rPr>
          <w:rFonts w:ascii="Calibri" w:hAnsi="Calibri" w:eastAsia="Calibri" w:cs="Calibri"/>
          <w:b/>
          <w:bCs/>
          <w:sz w:val="21"/>
          <w:szCs w:val="21"/>
        </w:rPr>
        <w:t>bukan</w:t>
      </w:r>
      <w:r>
        <w:rPr>
          <w:rFonts w:ascii="Calibri" w:hAnsi="Calibri" w:eastAsia="Calibri" w:cs="Calibri"/>
          <w:sz w:val="21"/>
          <w:szCs w:val="21"/>
        </w:rPr>
        <w:t xml:space="preserve"> tingkat produktivitas padi (Kamboja tinggi, Indonesia &amp; Myanmar rendah) atau intensitas pupuk (bervariasi besar) — melainkan </w:t>
      </w:r>
      <w:r>
        <w:rPr>
          <w:rFonts w:ascii="Calibri" w:hAnsi="Calibri" w:eastAsia="Calibri" w:cs="Calibri"/>
          <w:b/>
          <w:bCs/>
          <w:sz w:val="21"/>
          <w:szCs w:val="21"/>
        </w:rPr>
        <w:t>kesamaan arah: ketiganya satu-satunya negara dengan tren undernourishment yang POSITIF (memburuk) sejak 2018</w:t>
      </w:r>
      <w:r>
        <w:rPr>
          <w:rFonts w:ascii="Calibri" w:hAnsi="Calibri" w:eastAsia="Calibri" w:cs="Calibri"/>
          <w:sz w:val="21"/>
          <w:szCs w:val="21"/>
        </w:rPr>
        <w:t>, setelah bertahun-tahun mengalami perbaikan panjang. Ini adalah sinyal bahwa kemajuan ketahanan pangan bisa berbalik arah meski indikator produksi terlihat baik-baik saja di permukaan.</w:t>
      </w:r>
    </w:p>
    <w:p w14:paraId="0DBEEB9F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Klaster 1 — “Stabil” (Vietnam, Thailand, Filipina, Malaysia)</w:t>
      </w:r>
    </w:p>
    <w:p w14:paraId="2805CEB1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Keempat negara ini konsisten mencatat </w:t>
      </w:r>
      <w:r>
        <w:rPr>
          <w:rFonts w:ascii="Calibri" w:hAnsi="Calibri" w:eastAsia="Calibri" w:cs="Calibri"/>
          <w:b/>
          <w:bCs/>
          <w:sz w:val="21"/>
          <w:szCs w:val="21"/>
        </w:rPr>
        <w:t>tren undernourishment negatif (terus membaik)</w:t>
      </w:r>
      <w:r>
        <w:rPr>
          <w:rFonts w:ascii="Calibri" w:hAnsi="Calibri" w:eastAsia="Calibri" w:cs="Calibri"/>
          <w:sz w:val="21"/>
          <w:szCs w:val="21"/>
        </w:rPr>
        <w:t xml:space="preserve"> sepanjang 2018–2022, didukung basis produktivitas dan/atau intensitas input yang relatif lebih matang.</w:t>
      </w:r>
    </w:p>
    <w:p w14:paraId="1259B65C">
      <w:pPr>
        <w:spacing w:after="60"/>
      </w:pPr>
      <w:r>
        <w:rPr>
          <w:rFonts w:ascii="Calibri" w:hAnsi="Calibri" w:eastAsia="Calibri" w:cs="Calibri"/>
          <w:b/>
          <w:bCs/>
          <w:i/>
          <w:iCs/>
          <w:color w:val="595959"/>
          <w:sz w:val="19"/>
          <w:szCs w:val="19"/>
        </w:rPr>
        <w:t xml:space="preserve">Data: 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>Diolah dari 3 dataset OWID di atas (rice-yields, fertilizer-use-per-hectare-of-cropland, prevalence-of-undernourishment); metode: scikit-learn KMeans &amp; AgglomerativeClustering (Ward), StandardScaler, PCA</w:t>
      </w:r>
    </w:p>
    <w:p w14:paraId="552CFA09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Visualisasi</w:t>
      </w:r>
    </w:p>
    <w:p w14:paraId="422A4604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>Scatter plot PC1 vs PC2, titik diwarnai per klaster (merah = Relaps, hijau = Stabil), dilengkapi radar chart kecil di sisi yang membandingkan 4 indikator rata-rata tiap klaster.</w:t>
      </w:r>
    </w:p>
    <w:p w14:paraId="516653F2">
      <w:pPr>
        <w:pBdr>
          <w:bottom w:val="single" w:color="BFBFBF" w:sz="6" w:space="1"/>
        </w:pBdr>
        <w:spacing w:before="200" w:after="200"/>
      </w:pPr>
    </w:p>
    <w:p w14:paraId="00DD6A90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color w:val="2E6B3E"/>
          <w:sz w:val="25"/>
          <w:szCs w:val="25"/>
        </w:rPr>
        <w:t>6. Jendela Sebelum Krisis — Proyeksi Tren Kerawanan Gizi 2023–2027</w:t>
      </w:r>
    </w:p>
    <w:p w14:paraId="5D8D5DB6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Prelude</w:t>
      </w:r>
    </w:p>
    <w:p w14:paraId="1E194889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Klaster “Relaps” ini menghadapi jendela paling rawan justru ketika NOAA memproyeksikan </w:t>
      </w:r>
      <w:r>
        <w:rPr>
          <w:rFonts w:ascii="Calibri" w:hAnsi="Calibri" w:eastAsia="Calibri" w:cs="Calibri"/>
          <w:b/>
          <w:bCs/>
          <w:sz w:val="21"/>
          <w:szCs w:val="21"/>
        </w:rPr>
        <w:t>probabilitas 82%</w:t>
      </w:r>
      <w:r>
        <w:rPr>
          <w:rFonts w:ascii="Calibri" w:hAnsi="Calibri" w:eastAsia="Calibri" w:cs="Calibri"/>
          <w:sz w:val="21"/>
          <w:szCs w:val="21"/>
        </w:rPr>
        <w:t xml:space="preserve"> super El Niño muncul Mei–Juli 2026 dan bertahan hingga Februari 2027. Dengan mengekstrapolasi tren linear pada segmen 2015–2022 (regresi OLS, interval keyakinan 95%), proyeksi lintasan 2023–2027 menegaskan dua arah yang makin menjauh.</w:t>
      </w:r>
    </w:p>
    <w:p w14:paraId="68D8D0C5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Hasil Proyeksi (OLS trend + 95% CI, ekstrapolasi dari data 2015–2022)</w:t>
      </w:r>
    </w:p>
    <w:tbl>
      <w:tblPr>
        <w:tblStyle w:val="9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000"/>
        <w:gridCol w:w="1500"/>
        <w:gridCol w:w="2100"/>
        <w:gridCol w:w="2800"/>
      </w:tblGrid>
      <w:tr w14:paraId="6CC59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E1D6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Negara</w:t>
            </w:r>
          </w:p>
        </w:tc>
        <w:tc>
          <w:tcPr>
            <w:tcW w:w="10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C385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15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C4CF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21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AEAE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2027</w:t>
            </w:r>
          </w:p>
        </w:tc>
        <w:tc>
          <w:tcPr>
            <w:tcW w:w="2800" w:type="dxa"/>
            <w:shd w:val="clear" w:color="auto" w:fill="1F4E2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71DE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14:paraId="3901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493E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Myanmar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E631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0.127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F9CB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4.41%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DB384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4.80% (CI 2.0–7.6)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5839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R² rendah — tren volatil/tidak stabil</w:t>
            </w:r>
          </w:p>
        </w:tc>
      </w:tr>
      <w:tr w14:paraId="64394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41AA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Indonesia</w:t>
            </w:r>
          </w:p>
        </w:tc>
        <w:tc>
          <w:tcPr>
            <w:tcW w:w="10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E99E8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15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F12A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6.42%</w:t>
            </w:r>
          </w:p>
        </w:tc>
        <w:tc>
          <w:tcPr>
            <w:tcW w:w="21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C182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6.36% (CI 4.8–8.0)</w:t>
            </w:r>
          </w:p>
        </w:tc>
        <w:tc>
          <w:tcPr>
            <w:tcW w:w="28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E3D5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Nyaris flat — stagnasi nyata, bukan noise</w:t>
            </w:r>
          </w:p>
        </w:tc>
      </w:tr>
      <w:tr w14:paraId="6523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F0A3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Kamboja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9AA66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0.524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A9A84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5.19%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7D236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4.35% (CI 2.2–6.5)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9004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Perbaikan melambat drastis vs historis</w:t>
            </w:r>
          </w:p>
        </w:tc>
      </w:tr>
      <w:tr w14:paraId="612E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A9C1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Vietnam</w:t>
            </w:r>
          </w:p>
        </w:tc>
        <w:tc>
          <w:tcPr>
            <w:tcW w:w="10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E817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0.991</w:t>
            </w:r>
          </w:p>
        </w:tc>
        <w:tc>
          <w:tcPr>
            <w:tcW w:w="15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BACBE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4.86%</w:t>
            </w:r>
          </w:p>
        </w:tc>
        <w:tc>
          <w:tcPr>
            <w:tcW w:w="21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9485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3.27% (CI 2.9–3.7)</w:t>
            </w:r>
          </w:p>
        </w:tc>
        <w:tc>
          <w:tcPr>
            <w:tcW w:w="28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F9D26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Tren sangat konsisten, terus membaik</w:t>
            </w:r>
          </w:p>
        </w:tc>
      </w:tr>
      <w:tr w14:paraId="3199D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E4D3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Thailand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BE07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0.881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0AEE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4.77%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62116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2.94% (CI 1.1–4.8)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E70B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Terus membaik</w:t>
            </w:r>
          </w:p>
        </w:tc>
      </w:tr>
      <w:tr w14:paraId="3BDC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2581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Filipina</w:t>
            </w:r>
          </w:p>
        </w:tc>
        <w:tc>
          <w:tcPr>
            <w:tcW w:w="10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DFA6D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0.947</w:t>
            </w:r>
          </w:p>
        </w:tc>
        <w:tc>
          <w:tcPr>
            <w:tcW w:w="15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17CE5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2.02%</w:t>
            </w:r>
          </w:p>
        </w:tc>
        <w:tc>
          <w:tcPr>
            <w:tcW w:w="21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E714A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→ mendekati 0%</w:t>
            </w:r>
          </w:p>
        </w:tc>
        <w:tc>
          <w:tcPr>
            <w:tcW w:w="2800" w:type="dxa"/>
            <w:shd w:val="clear" w:color="auto" w:fill="EAF3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8C954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Model linear tak realistis di titik rendah *</w:t>
            </w:r>
          </w:p>
        </w:tc>
      </w:tr>
      <w:tr w14:paraId="6D89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AB4A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Malaysia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84148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0.932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7D417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2.20%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78FF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1.55% (CI 1.1–2.0)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170D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>Terus membaik, R² tinggi</w:t>
            </w:r>
          </w:p>
        </w:tc>
      </w:tr>
    </w:tbl>
    <w:p w14:paraId="6C328BD7">
      <w:pPr>
        <w:spacing w:after="120" w:line="300" w:lineRule="auto"/>
      </w:pPr>
    </w:p>
    <w:p w14:paraId="1F597658">
      <w:pPr>
        <w:spacing w:after="160" w:line="300" w:lineRule="auto"/>
      </w:pPr>
      <w:r>
        <w:rPr>
          <w:rFonts w:ascii="Calibri" w:hAnsi="Calibri" w:eastAsia="Calibri" w:cs="Calibri"/>
          <w:sz w:val="21"/>
          <w:szCs w:val="21"/>
        </w:rPr>
        <w:t>* Catatan metodologis: proyeksi Filipina secara matematis mendekati/melewati 0% pada 2025–2027 — ini artefak model linear yang tidak realistis mendekati batas bawah 0%; interpretasi yang lebih tepat adalah “Filipina diproyeksikan mendekati titik rendah baru”, bukan angka literal. Kejujuran keterbatasan model ini penting ditampilkan di infografis sebagai bentuk transparansi ilmiah.</w:t>
      </w:r>
    </w:p>
    <w:p w14:paraId="376CE7C7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Interpretasi</w:t>
      </w:r>
    </w:p>
    <w:p w14:paraId="47A20273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Myanmar dan Indonesia memiliki </w:t>
      </w:r>
      <w:r>
        <w:rPr>
          <w:rFonts w:ascii="Calibri" w:hAnsi="Calibri" w:eastAsia="Calibri" w:cs="Calibri"/>
          <w:b/>
          <w:bCs/>
          <w:sz w:val="21"/>
          <w:szCs w:val="21"/>
        </w:rPr>
        <w:t>R² rendah (0,127 dan 0,011)</w:t>
      </w:r>
      <w:r>
        <w:rPr>
          <w:rFonts w:ascii="Calibri" w:hAnsi="Calibri" w:eastAsia="Calibri" w:cs="Calibri"/>
          <w:sz w:val="21"/>
          <w:szCs w:val="21"/>
        </w:rPr>
        <w:t xml:space="preserve"> — secara statistik ini berarti lintasan mereka </w:t>
      </w:r>
      <w:r>
        <w:rPr>
          <w:rFonts w:ascii="Calibri" w:hAnsi="Calibri" w:eastAsia="Calibri" w:cs="Calibri"/>
          <w:b/>
          <w:bCs/>
          <w:sz w:val="21"/>
          <w:szCs w:val="21"/>
        </w:rPr>
        <w:t>tidak lagi bergerak turun secara meyakinkan</w:t>
      </w:r>
      <w:r>
        <w:rPr>
          <w:rFonts w:ascii="Calibri" w:hAnsi="Calibri" w:eastAsia="Calibri" w:cs="Calibri"/>
          <w:sz w:val="21"/>
          <w:szCs w:val="21"/>
        </w:rPr>
        <w:t>; pita ketidakpastian lebar mengindikasikan sistem pangan yang rentan terhadap guncangan sekecil apa pun, termasuk El Niño 2026.</w:t>
      </w:r>
    </w:p>
    <w:p w14:paraId="4E0EEF6E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>Kamboja masih membaik, tapi laju perbaikannya melambat tajam (slope −0,21 pp/th pada 2015–2022, dibanding −0,67 pp/th era 2001–2022).</w:t>
      </w:r>
    </w:p>
    <w:p w14:paraId="4FBB56B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sz w:val="21"/>
          <w:szCs w:val="21"/>
        </w:rPr>
        <w:t>Sebaliknya, klaster “Stabil” (Vietnam, Thailand, Filipina, Malaysia) memiliki R² tinggi (0,88–0,99) — tren mereka jauh lebih dapat diprediksi dan konsisten menurun, menandakan bantalan (buffer) sistem pangan yang lebih kuat.</w:t>
      </w:r>
    </w:p>
    <w:p w14:paraId="5B590D50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 xml:space="preserve">Kombinasi temuan clustering dan proyeksi ini menunjukkan: </w:t>
      </w:r>
      <w:r>
        <w:rPr>
          <w:rFonts w:ascii="Calibri" w:hAnsi="Calibri" w:eastAsia="Calibri" w:cs="Calibri"/>
          <w:b/>
          <w:bCs/>
          <w:sz w:val="21"/>
          <w:szCs w:val="21"/>
        </w:rPr>
        <w:t>jendela waktu sebelum dampak penuh super El Niño 2026 adalah periode kritis</w:t>
      </w:r>
      <w:r>
        <w:rPr>
          <w:rFonts w:ascii="Calibri" w:hAnsi="Calibri" w:eastAsia="Calibri" w:cs="Calibri"/>
          <w:sz w:val="21"/>
          <w:szCs w:val="21"/>
        </w:rPr>
        <w:t xml:space="preserve"> bagi Indonesia, Myanmar, dan Kamboja untuk mencegah kembalinya kerawanan gizi ke level dekade sebelumnya — sementara empat negara ASEAN lain relatif punya bantalan tren yang lebih kuat.</w:t>
      </w:r>
    </w:p>
    <w:p w14:paraId="71A31B09">
      <w:pPr>
        <w:spacing w:after="60"/>
      </w:pPr>
      <w:r>
        <w:rPr>
          <w:rFonts w:ascii="Calibri" w:hAnsi="Calibri" w:eastAsia="Calibri" w:cs="Calibri"/>
          <w:b/>
          <w:bCs/>
          <w:i/>
          <w:iCs/>
          <w:color w:val="595959"/>
          <w:sz w:val="19"/>
          <w:szCs w:val="19"/>
        </w:rPr>
        <w:t xml:space="preserve">Data: 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>Diolah dari OWID prevalence-of-undernourishment; metode: regresi linear OLS (scipy.stats.linregress) per negara, interval prediksi 95% dari galat baku residual</w:t>
      </w:r>
    </w:p>
    <w:p w14:paraId="4D1F37B1">
      <w:pPr>
        <w:spacing w:before="160" w:after="4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Visualisasi</w:t>
      </w:r>
    </w:p>
    <w:p w14:paraId="65F85B5B">
      <w:pPr>
        <w:spacing w:after="120" w:line="300" w:lineRule="auto"/>
      </w:pPr>
      <w:r>
        <w:rPr>
          <w:rFonts w:ascii="Calibri" w:hAnsi="Calibri" w:eastAsia="Calibri" w:cs="Calibri"/>
          <w:sz w:val="21"/>
          <w:szCs w:val="21"/>
        </w:rPr>
        <w:t>Line chart proyeksi 2023–2027 dengan pita confidence interval (area transparan), garis vertikal putus-putus menandai “Jendela El Niño 2026–2027”, dua kelompok warna (klaster Relaps vs Stabil).</w:t>
      </w:r>
    </w:p>
    <w:p w14:paraId="25B0C57C">
      <w:pPr>
        <w:pBdr>
          <w:bottom w:val="single" w:color="BFBFBF" w:sz="6" w:space="1"/>
        </w:pBdr>
        <w:spacing w:before="200" w:after="200"/>
      </w:pPr>
    </w:p>
    <w:p w14:paraId="25A30576">
      <w:pPr>
        <w:spacing w:before="200"/>
      </w:pPr>
      <w:r>
        <w:rPr>
          <w:rFonts w:ascii="Calibri" w:hAnsi="Calibri" w:eastAsia="Calibri" w:cs="Calibri"/>
          <w:i/>
          <w:iCs/>
          <w:color w:val="808080"/>
          <w:sz w:val="18"/>
          <w:szCs w:val="18"/>
        </w:rPr>
        <w:t>Catatan: seluruh angka pada dokumen ini dihitung langsung dari data historis Our World in Data (bersumber FAO) yang diambil pada tanggal dokumen ini dibuat; seluruh kode analisis (Python — pandas, scipy, scikit-learn) tersedia untuk direproduksi ulang oleh tim sebelum dimasukkan ke infografis final.</w:t>
      </w: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60"/>
      </w:pPr>
    </w:lvl>
    <w:lvl w:ilvl="1" w:tentative="0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48F1C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1474</Words>
  <Characters>9547</Characters>
  <TotalTime>0</TotalTime>
  <ScaleCrop>false</ScaleCrop>
  <LinksUpToDate>false</LinksUpToDate>
  <CharactersWithSpaces>10773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2026-09-11T07:15:00Z</dcterms:created>
  <dc:creator>Un-named</dc:creator>
  <cp:lastModifiedBy>Faiz Iqbal</cp:lastModifiedBy>
  <dcterms:modified xsi:type="dcterms:W3CDTF">2026-09-11T07:21:30Z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1057-12.1.0.28485</vt:lpwstr>
  </property>
  <property fmtid="{D5CDD505-2E9C-101B-9397-08002B2CF9AE}" pid="3" name="ICV">
    <vt:lpwstr>E74A8F088FE640388F81F9CC5DF07BDC_13</vt:lpwstr>
  </property>
</Properties>
</file>