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HYB-001 hybrid OCR per-field (DocTR dates+organizer / baseline nomor)</w:t>
            </w:r>
          </w:p>
        </w:tc>
        <w:tc>
          <w:tcPr>
            <w:tcW w:type="dxa" w:w="1234"/>
          </w:tcPr>
          <w:p>
            <w:r/>
            <w:r>
              <w:rPr>
                <w:sz w:val="18"/>
              </w:rPr>
              <w:t>n/a</w:t>
            </w:r>
          </w:p>
        </w:tc>
        <w:tc>
          <w:tcPr>
            <w:tcW w:type="dxa" w:w="1234"/>
          </w:tcPr>
          <w:p>
            <w:r/>
            <w:r>
              <w:rPr>
                <w:sz w:val="18"/>
              </w:rPr>
              <w:t>46.8%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ORG-004 canonicalisasi format (0 LLM)</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AKT-002 deteksi nama_kegiatan v2 (0 LLM)</w:t>
            </w:r>
          </w:p>
        </w:tc>
        <w:tc>
          <w:tcPr>
            <w:tcW w:type="dxa" w:w="1234"/>
          </w:tcPr>
          <w:p>
            <w:r/>
            <w:r>
              <w:rPr>
                <w:sz w:val="18"/>
              </w:rPr>
              <w:t>81.1%</w:t>
            </w:r>
          </w:p>
        </w:tc>
        <w:tc>
          <w:tcPr>
            <w:tcW w:type="dxa" w:w="1234"/>
          </w:tcPr>
          <w:p>
            <w:r/>
            <w:r>
              <w:rPr>
                <w:sz w:val="18"/>
              </w:rPr>
              <w:t>68.8%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