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NC-002 region-OCR murah (rapid / tess psm tunggal) utk 2-pass nomor</w:t>
            </w:r>
          </w:p>
        </w:tc>
        <w:tc>
          <w:tcPr>
            <w:tcW w:type="dxa" w:w="1080"/>
          </w:tcPr>
          <w:p>
            <w:r/>
            <w:r>
              <w:rPr>
                <w:sz w:val="18"/>
              </w:rPr>
              <w:t>n/a</w:t>
            </w:r>
          </w:p>
        </w:tc>
        <w:tc>
          <w:tcPr>
            <w:tcW w:type="dxa" w:w="1080"/>
          </w:tcPr>
          <w:p>
            <w:r/>
            <w:r>
              <w:rPr>
                <w:sz w:val="18"/>
              </w:rPr>
              <w:t>47.3%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F1 organizer v3 + R6 (0 LLM)</w:t>
            </w:r>
          </w:p>
        </w:tc>
        <w:tc>
          <w:tcPr>
            <w:tcW w:type="dxa" w:w="1080"/>
            <w:shd w:val="clear" w:color="auto" w:fill="F2F6FC"/>
          </w:tcPr>
          <w:p>
            <w:r/>
            <w:r>
              <w:rPr>
                <w:sz w:val="18"/>
              </w:rPr>
              <w:t>81.1%</w:t>
            </w:r>
          </w:p>
        </w:tc>
        <w:tc>
          <w:tcPr>
            <w:tcW w:type="dxa" w:w="1080"/>
            <w:shd w:val="clear" w:color="auto" w:fill="F2F6FC"/>
          </w:tcPr>
          <w:p>
            <w:r/>
            <w:r>
              <w:rPr>
                <w:sz w:val="18"/>
              </w:rPr>
              <w:t>61.2%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normalisasi organizer &amp; nomor (0 LLM)</w:t>
            </w:r>
          </w:p>
        </w:tc>
        <w:tc>
          <w:tcPr>
            <w:tcW w:type="dxa" w:w="1080"/>
          </w:tcPr>
          <w:p>
            <w:r/>
            <w:r>
              <w:rPr>
                <w:sz w:val="18"/>
              </w:rPr>
              <w:t>81.1%</w:t>
            </w:r>
          </w:p>
        </w:tc>
        <w:tc>
          <w:tcPr>
            <w:tcW w:type="dxa" w:w="1080"/>
          </w:tcPr>
          <w:p>
            <w:r/>
            <w:r>
              <w:rPr>
                <w:sz w:val="18"/>
              </w:rPr>
              <w:t>58.3%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PROD-002 port produksi organizer v3+R3+R6+format + nomor (flag-gated)</w:t>
            </w:r>
          </w:p>
        </w:tc>
        <w:tc>
          <w:tcPr>
            <w:tcW w:type="dxa" w:w="1080"/>
          </w:tcPr>
          <w:p>
            <w:r/>
            <w:r>
              <w:rPr>
                <w:sz w:val="18"/>
              </w:rPr>
              <w:t>81.1%</w:t>
            </w:r>
          </w:p>
        </w:tc>
        <w:tc>
          <w:tcPr>
            <w:tcW w:type="dxa" w:w="1080"/>
          </w:tcPr>
          <w:p>
            <w:r/>
            <w:r>
              <w:rPr>
                <w:sz w:val="18"/>
              </w:rPr>
              <w:t>63.0%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AKT-002 deteksi nama_kegiatan v2 (0 LLM)</w:t>
            </w:r>
          </w:p>
        </w:tc>
        <w:tc>
          <w:tcPr>
            <w:tcW w:type="dxa" w:w="1080"/>
            <w:shd w:val="clear" w:color="auto" w:fill="F2F6FC"/>
          </w:tcPr>
          <w:p>
            <w:r/>
            <w:r>
              <w:rPr>
                <w:sz w:val="18"/>
              </w:rPr>
              <w:t>81.1%</w:t>
            </w:r>
          </w:p>
        </w:tc>
        <w:tc>
          <w:tcPr>
            <w:tcW w:type="dxa" w:w="1080"/>
            <w:shd w:val="clear" w:color="auto" w:fill="F2F6FC"/>
          </w:tcPr>
          <w:p>
            <w:r/>
            <w:r>
              <w:rPr>
                <w:sz w:val="18"/>
              </w:rPr>
              <w:t>68.8%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NC-002 region-OCR murah (rapid / tess psm tunggal) utk 2-pass nomor</w:t>
            </w:r>
          </w:p>
        </w:tc>
        <w:tc>
          <w:tcPr>
            <w:tcW w:type="dxa" w:w="2160"/>
          </w:tcPr>
          <w:p>
            <w:r/>
            <w:r>
              <w:rPr>
                <w:sz w:val="18"/>
              </w:rPr>
              <w:t>n/a</w:t>
            </w:r>
          </w:p>
        </w:tc>
        <w:tc>
          <w:tcPr>
            <w:tcW w:type="dxa" w:w="2160"/>
          </w:tcPr>
          <w:p>
            <w:r/>
            <w:r>
              <w:rPr>
                <w:sz w:val="18"/>
              </w:rPr>
              <w:t>47.3%</w:t>
            </w:r>
          </w:p>
        </w:tc>
      </w:tr>
      <w:tr>
        <w:tc>
          <w:tcPr>
            <w:tcW w:type="dxa" w:w="2160"/>
            <w:shd w:val="clear" w:color="auto" w:fill="F2F6FC"/>
          </w:tcPr>
          <w:p>
            <w:r/>
            <w:r>
              <w:rPr>
                <w:sz w:val="18"/>
              </w:rPr>
              <w:t>v10</w:t>
            </w:r>
          </w:p>
        </w:tc>
        <w:tc>
          <w:tcPr>
            <w:tcW w:type="dxa" w:w="2160"/>
            <w:shd w:val="clear" w:color="auto" w:fill="F2F6FC"/>
          </w:tcPr>
          <w:p>
            <w:r/>
            <w:r>
              <w:rPr>
                <w:sz w:val="18"/>
              </w:rPr>
              <w:t>F1 organizer v3 + R6 (0 LLM)</w:t>
            </w:r>
          </w:p>
        </w:tc>
        <w:tc>
          <w:tcPr>
            <w:tcW w:type="dxa" w:w="2160"/>
            <w:shd w:val="clear" w:color="auto" w:fill="F2F6FC"/>
          </w:tcPr>
          <w:p>
            <w:r/>
            <w:r>
              <w:rPr>
                <w:sz w:val="18"/>
              </w:rPr>
              <w:t>81.1%</w:t>
            </w:r>
          </w:p>
        </w:tc>
        <w:tc>
          <w:tcPr>
            <w:tcW w:type="dxa" w:w="2160"/>
            <w:shd w:val="clear" w:color="auto" w:fill="F2F6FC"/>
          </w:tcPr>
          <w:p>
            <w:r/>
            <w:r>
              <w:rPr>
                <w:sz w:val="18"/>
              </w:rPr>
              <w:t>61.2%</w:t>
            </w:r>
          </w:p>
        </w:tc>
      </w:tr>
      <w:tr>
        <w:tc>
          <w:tcPr>
            <w:tcW w:type="dxa" w:w="2160"/>
          </w:tcPr>
          <w:p>
            <w:r/>
            <w:r>
              <w:rPr>
                <w:sz w:val="18"/>
              </w:rPr>
              <w:t>v10</w:t>
            </w:r>
          </w:p>
        </w:tc>
        <w:tc>
          <w:tcPr>
            <w:tcW w:type="dxa" w:w="2160"/>
          </w:tcPr>
          <w:p>
            <w:r/>
            <w:r>
              <w:rPr>
                <w:sz w:val="18"/>
              </w:rPr>
              <w:t>F1 normalisasi organizer &amp; nomor (0 LLM)</w:t>
            </w:r>
          </w:p>
        </w:tc>
        <w:tc>
          <w:tcPr>
            <w:tcW w:type="dxa" w:w="2160"/>
          </w:tcPr>
          <w:p>
            <w:r/>
            <w:r>
              <w:rPr>
                <w:sz w:val="18"/>
              </w:rPr>
              <w:t>81.1%</w:t>
            </w:r>
          </w:p>
        </w:tc>
        <w:tc>
          <w:tcPr>
            <w:tcW w:type="dxa" w:w="2160"/>
          </w:tcPr>
          <w:p>
            <w:r/>
            <w:r>
              <w:rPr>
                <w:sz w:val="18"/>
              </w:rPr>
              <w:t>58.3%</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r>
        <w:tc>
          <w:tcPr>
            <w:tcW w:type="dxa" w:w="2160"/>
          </w:tcPr>
          <w:p>
            <w:r/>
            <w:r>
              <w:rPr>
                <w:sz w:val="18"/>
              </w:rPr>
              <w:t>v10</w:t>
            </w:r>
          </w:p>
        </w:tc>
        <w:tc>
          <w:tcPr>
            <w:tcW w:type="dxa" w:w="2160"/>
          </w:tcPr>
          <w:p>
            <w:r/>
            <w:r>
              <w:rPr>
                <w:sz w:val="18"/>
              </w:rPr>
              <w:t>PROD-002 port produksi organizer v3+R3+R6+format + nomor (flag-gated)</w:t>
            </w:r>
          </w:p>
        </w:tc>
        <w:tc>
          <w:tcPr>
            <w:tcW w:type="dxa" w:w="2160"/>
          </w:tcPr>
          <w:p>
            <w:r/>
            <w:r>
              <w:rPr>
                <w:sz w:val="18"/>
              </w:rPr>
              <w:t>81.1%</w:t>
            </w:r>
          </w:p>
        </w:tc>
        <w:tc>
          <w:tcPr>
            <w:tcW w:type="dxa" w:w="2160"/>
          </w:tcPr>
          <w:p>
            <w:r/>
            <w:r>
              <w:rPr>
                <w:sz w:val="18"/>
              </w:rPr>
              <w:t>63.0%</w:t>
            </w:r>
          </w:p>
        </w:tc>
      </w:tr>
      <w:tr>
        <w:tc>
          <w:tcPr>
            <w:tcW w:type="dxa" w:w="2160"/>
            <w:shd w:val="clear" w:color="auto" w:fill="F2F6FC"/>
          </w:tcPr>
          <w:p>
            <w:r/>
            <w:r>
              <w:rPr>
                <w:sz w:val="18"/>
              </w:rPr>
              <w:t>v10</w:t>
            </w:r>
          </w:p>
        </w:tc>
        <w:tc>
          <w:tcPr>
            <w:tcW w:type="dxa" w:w="2160"/>
            <w:shd w:val="clear" w:color="auto" w:fill="F2F6FC"/>
          </w:tcPr>
          <w:p>
            <w:r/>
            <w:r>
              <w:rPr>
                <w:sz w:val="18"/>
              </w:rPr>
              <w:t>AKT-002 deteksi nama_kegiatan v2 (0 LLM)</w:t>
            </w:r>
          </w:p>
        </w:tc>
        <w:tc>
          <w:tcPr>
            <w:tcW w:type="dxa" w:w="2160"/>
            <w:shd w:val="clear" w:color="auto" w:fill="F2F6FC"/>
          </w:tcPr>
          <w:p>
            <w:r/>
            <w:r>
              <w:rPr>
                <w:sz w:val="18"/>
              </w:rPr>
              <w:t>81.1%</w:t>
            </w:r>
          </w:p>
        </w:tc>
        <w:tc>
          <w:tcPr>
            <w:tcW w:type="dxa" w:w="2160"/>
            <w:shd w:val="clear" w:color="auto" w:fill="F2F6FC"/>
          </w:tcPr>
          <w:p>
            <w:r/>
            <w:r>
              <w:rPr>
                <w:sz w:val="18"/>
              </w:rPr>
              <w:t>68.8%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