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NC-002 region-OCR murah (rapid / tess psm tunggal) utk 2-pass nomor</w:t>
            </w:r>
          </w:p>
        </w:tc>
        <w:tc>
          <w:tcPr>
            <w:tcW w:type="dxa" w:w="1234"/>
          </w:tcPr>
          <w:p>
            <w:r/>
            <w:r>
              <w:rPr>
                <w:sz w:val="18"/>
              </w:rPr>
              <w:t>n/a</w:t>
            </w:r>
          </w:p>
        </w:tc>
        <w:tc>
          <w:tcPr>
            <w:tcW w:type="dxa" w:w="1234"/>
          </w:tcPr>
          <w:p>
            <w:r/>
            <w:r>
              <w:rPr>
                <w:sz w:val="18"/>
              </w:rPr>
              <w:t>47.3%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organizer v3 + R6 (0 LLM)</w:t>
            </w:r>
          </w:p>
        </w:tc>
        <w:tc>
          <w:tcPr>
            <w:tcW w:type="dxa" w:w="1234"/>
            <w:shd w:val="clear" w:color="auto" w:fill="F2F6FC"/>
          </w:tcPr>
          <w:p>
            <w:r/>
            <w:r>
              <w:rPr>
                <w:sz w:val="18"/>
              </w:rPr>
              <w:t>81.1%</w:t>
            </w:r>
          </w:p>
        </w:tc>
        <w:tc>
          <w:tcPr>
            <w:tcW w:type="dxa" w:w="1234"/>
            <w:shd w:val="clear" w:color="auto" w:fill="F2F6FC"/>
          </w:tcPr>
          <w:p>
            <w:r/>
            <w:r>
              <w:rPr>
                <w:sz w:val="18"/>
              </w:rPr>
              <w:t>61.2%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normalisasi organizer &amp; nomor (0 LLM)</w:t>
            </w:r>
          </w:p>
        </w:tc>
        <w:tc>
          <w:tcPr>
            <w:tcW w:type="dxa" w:w="1234"/>
          </w:tcPr>
          <w:p>
            <w:r/>
            <w:r>
              <w:rPr>
                <w:sz w:val="18"/>
              </w:rPr>
              <w:t>81.1%</w:t>
            </w:r>
          </w:p>
        </w:tc>
        <w:tc>
          <w:tcPr>
            <w:tcW w:type="dxa" w:w="1234"/>
          </w:tcPr>
          <w:p>
            <w:r/>
            <w:r>
              <w:rPr>
                <w:sz w:val="18"/>
              </w:rPr>
              <w:t>58.3%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ORG-004 canonicalisasi format (0 LLM)</w:t>
            </w:r>
          </w:p>
        </w:tc>
        <w:tc>
          <w:tcPr>
            <w:tcW w:type="dxa" w:w="1234"/>
            <w:shd w:val="clear" w:color="auto" w:fill="F2F6FC"/>
          </w:tcPr>
          <w:p>
            <w:r/>
            <w:r>
              <w:rPr>
                <w:sz w:val="18"/>
              </w:rPr>
              <w:t>81.1%</w:t>
            </w:r>
          </w:p>
        </w:tc>
        <w:tc>
          <w:tcPr>
            <w:tcW w:type="dxa" w:w="1234"/>
            <w:shd w:val="clear" w:color="auto" w:fill="F2F6FC"/>
          </w:tcPr>
          <w:p>
            <w:r/>
            <w:r>
              <w:rPr>
                <w:sz w:val="18"/>
              </w:rPr>
              <w:t>63.5%</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PROD-002 port produksi organizer v3+R3+R6+format + nomor (flag-gated)</w:t>
            </w:r>
          </w:p>
        </w:tc>
        <w:tc>
          <w:tcPr>
            <w:tcW w:type="dxa" w:w="1234"/>
          </w:tcPr>
          <w:p>
            <w:r/>
            <w:r>
              <w:rPr>
                <w:sz w:val="18"/>
              </w:rPr>
              <w:t>81.1%</w:t>
            </w:r>
          </w:p>
        </w:tc>
        <w:tc>
          <w:tcPr>
            <w:tcW w:type="dxa" w:w="1234"/>
          </w:tcPr>
          <w:p>
            <w:r/>
            <w:r>
              <w:rPr>
                <w:sz w:val="18"/>
              </w:rPr>
              <w:t>63.0%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AKT-002 deteksi nama_kegiatan v2 (0 LLM)</w:t>
            </w:r>
          </w:p>
        </w:tc>
        <w:tc>
          <w:tcPr>
            <w:tcW w:type="dxa" w:w="1234"/>
            <w:shd w:val="clear" w:color="auto" w:fill="F2F6FC"/>
          </w:tcPr>
          <w:p>
            <w:r/>
            <w:r>
              <w:rPr>
                <w:sz w:val="18"/>
              </w:rPr>
              <w:t>81.1%</w:t>
            </w:r>
          </w:p>
        </w:tc>
        <w:tc>
          <w:tcPr>
            <w:tcW w:type="dxa" w:w="1234"/>
            <w:shd w:val="clear" w:color="auto" w:fill="F2F6FC"/>
          </w:tcPr>
          <w:p>
            <w:r/>
            <w:r>
              <w:rPr>
                <w:sz w:val="18"/>
              </w:rPr>
              <w:t>68.8%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