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NC-002 region-OCR murah (rapid / tess psm tunggal) utk 2-pass nomor</w:t>
            </w:r>
          </w:p>
        </w:tc>
        <w:tc>
          <w:tcPr>
            <w:tcW w:type="dxa" w:w="1080"/>
          </w:tcPr>
          <w:p>
            <w:r/>
            <w:r>
              <w:rPr>
                <w:sz w:val="18"/>
              </w:rPr>
              <w:t>n/a</w:t>
            </w:r>
          </w:p>
        </w:tc>
        <w:tc>
          <w:tcPr>
            <w:tcW w:type="dxa" w:w="1080"/>
          </w:tcPr>
          <w:p>
            <w:r/>
            <w:r>
              <w:rPr>
                <w:sz w:val="18"/>
              </w:rPr>
              <w:t>47.3%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F1 organizer v3 (R0-R5, 0 LLM)</w:t>
            </w:r>
          </w:p>
        </w:tc>
        <w:tc>
          <w:tcPr>
            <w:tcW w:type="dxa" w:w="1080"/>
            <w:shd w:val="clear" w:color="auto" w:fill="F2F6FC"/>
          </w:tcPr>
          <w:p>
            <w:r/>
            <w:r>
              <w:rPr>
                <w:sz w:val="18"/>
              </w:rPr>
              <w:t>81.1%</w:t>
            </w:r>
          </w:p>
        </w:tc>
        <w:tc>
          <w:tcPr>
            <w:tcW w:type="dxa" w:w="1080"/>
            <w:shd w:val="clear" w:color="auto" w:fill="F2F6FC"/>
          </w:tcPr>
          <w:p>
            <w:r/>
            <w:r>
              <w:rPr>
                <w:sz w:val="18"/>
              </w:rPr>
              <w:t>59.6%</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NC-002 region-OCR murah (rapid / tess psm tunggal) utk 2-pass nomor</w:t>
            </w:r>
          </w:p>
        </w:tc>
        <w:tc>
          <w:tcPr>
            <w:tcW w:type="dxa" w:w="2160"/>
          </w:tcPr>
          <w:p>
            <w:r/>
            <w:r>
              <w:rPr>
                <w:sz w:val="18"/>
              </w:rPr>
              <w:t>n/a</w:t>
            </w:r>
          </w:p>
        </w:tc>
        <w:tc>
          <w:tcPr>
            <w:tcW w:type="dxa" w:w="2160"/>
          </w:tcPr>
          <w:p>
            <w:r/>
            <w:r>
              <w:rPr>
                <w:sz w:val="18"/>
              </w:rPr>
              <w:t>47.3%</w:t>
            </w:r>
          </w:p>
        </w:tc>
      </w:tr>
      <w:tr>
        <w:tc>
          <w:tcPr>
            <w:tcW w:type="dxa" w:w="2160"/>
            <w:shd w:val="clear" w:color="auto" w:fill="F2F6FC"/>
          </w:tcPr>
          <w:p>
            <w:r/>
            <w:r>
              <w:rPr>
                <w:sz w:val="18"/>
              </w:rPr>
              <w:t>v10</w:t>
            </w:r>
          </w:p>
        </w:tc>
        <w:tc>
          <w:tcPr>
            <w:tcW w:type="dxa" w:w="2160"/>
            <w:shd w:val="clear" w:color="auto" w:fill="F2F6FC"/>
          </w:tcPr>
          <w:p>
            <w:r/>
            <w:r>
              <w:rPr>
                <w:sz w:val="18"/>
              </w:rPr>
              <w:t>F1 organizer v3 (R0-R5, 0 LLM)</w:t>
            </w:r>
          </w:p>
        </w:tc>
        <w:tc>
          <w:tcPr>
            <w:tcW w:type="dxa" w:w="2160"/>
            <w:shd w:val="clear" w:color="auto" w:fill="F2F6FC"/>
          </w:tcPr>
          <w:p>
            <w:r/>
            <w:r>
              <w:rPr>
                <w:sz w:val="18"/>
              </w:rPr>
              <w:t>81.1%</w:t>
            </w:r>
          </w:p>
        </w:tc>
        <w:tc>
          <w:tcPr>
            <w:tcW w:type="dxa" w:w="2160"/>
            <w:shd w:val="clear" w:color="auto" w:fill="F2F6FC"/>
          </w:tcPr>
          <w:p>
            <w:r/>
            <w:r>
              <w:rPr>
                <w:sz w:val="18"/>
              </w:rPr>
              <w:t>59.6%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