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48"/>
          <w:szCs w:val="48"/>
        </w:rPr>
        <w:t xml:space="preserve">Evaluation Methodology Report</w:t>
      </w:r>
    </w:p>
    <w:p>
      <w:pPr>
        <w:spacing w:after="100"/>
        <w:jc w:val="center"/>
      </w:pPr>
      <w:r>
        <w:rPr>
          <w:rFonts w:ascii="Arial" w:cs="Arial" w:eastAsia="Arial" w:hAnsi="Arial"/>
          <w:color w:val="555555"/>
          <w:sz w:val="32"/>
          <w:szCs w:val="32"/>
        </w:rPr>
        <w:t xml:space="preserve">Certificate Autofill Prototype</w:t>
      </w:r>
    </w:p>
    <w:p>
      <w:pPr>
        <w:spacing w:after="400"/>
        <w:jc w:val="center"/>
      </w:pPr>
      <w:r>
        <w:rPr>
          <w:rFonts w:ascii="Arial" w:cs="Arial" w:eastAsia="Arial" w:hAnsi="Arial"/>
          <w:color w:val="777777"/>
          <w:sz w:val="24"/>
          <w:szCs w:val="24"/>
        </w:rPr>
        <w:t xml:space="preserve">Benchmark Metrics, Formulas, and Analysis</w:t>
      </w:r>
    </w:p>
    <w:p>
      <w:pPr>
        <w:jc w:val="center"/>
      </w:pPr>
      <w:r>
        <w:rPr>
          <w:rFonts w:ascii="Arial" w:cs="Arial" w:eastAsia="Arial" w:hAnsi="Arial"/>
          <w:color w:val="999999"/>
          <w:sz w:val="24"/>
          <w:szCs w:val="24"/>
        </w:rPr>
        <w:t xml:space="preserve">July 2026</w:t>
      </w:r>
    </w:p>
    <w:p>
      <w:r>
        <w:br w:type="page"/>
      </w:r>
    </w:p>
    <w:p>
      <w:pPr>
        <w:pStyle w:val="Heading1"/>
        <w:spacing w:after="150" w:before="300"/>
      </w:pPr>
      <w:r>
        <w:rPr>
          <w:rFonts w:ascii="Arial" w:cs="Arial" w:eastAsia="Arial" w:hAnsi="Arial"/>
        </w:rPr>
        <w:t xml:space="preserve">1. Introduction</w:t>
      </w:r>
    </w:p>
    <w:p>
      <w:pPr>
        <w:spacing w:after="120"/>
      </w:pPr>
      <w:r>
        <w:rPr>
          <w:rFonts w:ascii="Arial" w:cs="Arial" w:eastAsia="Arial" w:hAnsi="Arial"/>
          <w:sz w:val="22"/>
          <w:szCs w:val="22"/>
        </w:rPr>
        <w:t xml:space="preserve">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pPr>
        <w:spacing w:after="120"/>
      </w:pPr>
      <w:r>
        <w:rPr>
          <w:rFonts w:ascii="Arial" w:cs="Arial" w:eastAsia="Arial" w:hAnsi="Arial"/>
          <w:sz w:val="22"/>
          <w:szCs w:val="22"/>
        </w:rPr>
        <w:t xml:space="preserve">Scope: 74 ground-truth certificates covering 6 extracted fields, evaluated across multiple extraction methods (regex, NER, hybrid, LLM).</w:t>
      </w:r>
    </w:p>
    <w:p>
      <w:pPr>
        <w:spacing w:after="120"/>
      </w:pPr>
      <w:r>
        <w:rPr>
          <w:rFonts w:ascii="Arial" w:cs="Arial" w:eastAsia="Arial" w:hAnsi="Arial"/>
          <w:sz w:val="22"/>
          <w:szCs w:val="22"/>
        </w:rPr>
        <w:t xml:space="preserve">The evaluation framework is implemented in tests/evaluation_framework.py with matching logic in tests/matchers.py.</w:t>
      </w:r>
    </w:p>
    <w:p>
      <w:pPr>
        <w:pStyle w:val="Heading1"/>
        <w:spacing w:after="150" w:before="300"/>
      </w:pPr>
      <w:r>
        <w:rPr>
          <w:rFonts w:ascii="Arial" w:cs="Arial" w:eastAsia="Arial" w:hAnsi="Arial"/>
        </w:rPr>
        <w:t xml:space="preserve">2. Evaluated Fields</w:t>
      </w:r>
    </w:p>
    <w:p>
      <w:pPr>
        <w:spacing w:after="120"/>
      </w:pPr>
      <w:r>
        <w:rPr>
          <w:rFonts w:ascii="Arial" w:cs="Arial" w:eastAsia="Arial" w:hAnsi="Arial"/>
          <w:sz w:val="22"/>
          <w:szCs w:val="22"/>
        </w:rPr>
        <w:t xml:space="preserve">The following fields are extracted from each certificate and compared against ground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41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nama_kegiatan_sertifikasi</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Event/activity name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waktu_mulai_pelaksanaan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Date</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Start date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waktu_selesai_pelaksanaan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Date</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End date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penyelenggara_kegiatan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Organizer name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nomor_bukti_fisik_nomor_sertifikasi</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Structured</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Certificate number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tingkat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Categorical</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Activity level (L1-L6)</w:t>
            </w:r>
          </w:p>
        </w:tc>
      </w:tr>
    </w:tbl>
    <w:p>
      <w:pPr>
        <w:spacing w:after="120"/>
      </w:pPr>
    </w:p>
    <w:p>
      <w:pPr>
        <w:pStyle w:val="Heading1"/>
        <w:spacing w:after="150" w:before="300"/>
      </w:pPr>
      <w:r>
        <w:rPr>
          <w:rFonts w:ascii="Arial" w:cs="Arial" w:eastAsia="Arial" w:hAnsi="Arial"/>
        </w:rPr>
        <w:t xml:space="preserve">3. Metrics Definitions</w:t>
      </w:r>
    </w:p>
    <w:p>
      <w:pPr>
        <w:spacing w:after="120"/>
      </w:pPr>
      <w:r>
        <w:rPr>
          <w:rFonts w:ascii="Arial" w:cs="Arial" w:eastAsia="Arial" w:hAnsi="Arial"/>
          <w:sz w:val="22"/>
          <w:szCs w:val="22"/>
        </w:rPr>
        <w:t xml:space="preserve">Each extracted field is evaluated using the following metrics. All string comparisons use normalized values (lowercase, special characters removed).</w:t>
      </w:r>
    </w:p>
    <w:p>
      <w:pPr>
        <w:pStyle w:val="Heading2"/>
        <w:spacing w:after="150" w:before="300"/>
      </w:pPr>
      <w:r>
        <w:rPr>
          <w:rFonts w:ascii="Arial" w:cs="Arial" w:eastAsia="Arial" w:hAnsi="Arial"/>
        </w:rPr>
        <w:t xml:space="preserve">3.1 Exact Match</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exact = normalize(expected) == normalize(actual)</w:t>
      </w:r>
    </w:p>
    <w:p>
      <w:pPr>
        <w:spacing w:after="120"/>
      </w:pPr>
      <w:r>
        <w:rPr>
          <w:rFonts w:ascii="Arial" w:cs="Arial" w:eastAsia="Arial" w:hAnsi="Arial"/>
          <w:sz w:val="22"/>
          <w:szCs w:val="22"/>
        </w:rPr>
        <w:t xml:space="preserve">Binary metric: 1 if normalized strings are identical, 0 otherwise. Normalization lowercases text and strips non-alphanumeric characters (except /). For dates, both sides are first normalized to DD/MM/YYYY format. For certification numbers, whitespace and punctuation are stripped.</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Simple and interpretable.</w:t>
      </w:r>
    </w:p>
    <w:p>
      <w:pPr>
        <w:pStyle w:val="ListParagraph"/>
        <w:numPr>
          <w:ilvl w:val="0"/>
          <w:numId w:val="2"/>
        </w:numPr>
        <w:spacing w:after="60"/>
      </w:pPr>
      <w:r>
        <w:rPr>
          <w:rFonts w:ascii="Arial" w:cs="Arial" w:eastAsia="Arial" w:hAnsi="Arial"/>
          <w:sz w:val="22"/>
          <w:szCs w:val="22"/>
        </w:rPr>
        <w:t xml:space="preserve">Gold standard for structured fields (dates, numbers).</w:t>
      </w:r>
    </w:p>
    <w:p>
      <w:pPr>
        <w:pStyle w:val="ListParagraph"/>
        <w:numPr>
          <w:ilvl w:val="0"/>
          <w:numId w:val="2"/>
        </w:numPr>
        <w:spacing w:after="60"/>
      </w:pPr>
      <w:r>
        <w:rPr>
          <w:rFonts w:ascii="Arial" w:cs="Arial" w:eastAsia="Arial" w:hAnsi="Arial"/>
          <w:sz w:val="22"/>
          <w:szCs w:val="22"/>
        </w:rPr>
        <w:t xml:space="preserve">Penalizes minor formatting differences.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Sensitive to OCR errors and abbreviations.</w:t>
      </w:r>
    </w:p>
    <w:p>
      <w:pPr>
        <w:pStyle w:val="ListParagraph"/>
        <w:numPr>
          <w:ilvl w:val="0"/>
          <w:numId w:val="2"/>
        </w:numPr>
        <w:spacing w:after="60"/>
      </w:pPr>
      <w:r>
        <w:rPr>
          <w:rFonts w:ascii="Arial" w:cs="Arial" w:eastAsia="Arial" w:hAnsi="Arial"/>
          <w:sz w:val="22"/>
          <w:szCs w:val="22"/>
        </w:rPr>
        <w:t xml:space="preserve">Does not capture partial correctness.</w:t>
      </w:r>
    </w:p>
    <w:p>
      <w:pPr>
        <w:pStyle w:val="ListParagraph"/>
        <w:numPr>
          <w:ilvl w:val="0"/>
          <w:numId w:val="2"/>
        </w:numPr>
        <w:spacing w:after="60"/>
      </w:pPr>
      <w:r>
        <w:rPr>
          <w:rFonts w:ascii="Arial" w:cs="Arial" w:eastAsia="Arial" w:hAnsi="Arial"/>
          <w:sz w:val="22"/>
          <w:szCs w:val="22"/>
        </w:rPr>
        <w:t xml:space="preserve">Two strings differing by one character score 0.</w:t>
      </w:r>
    </w:p>
    <w:p>
      <w:pPr>
        <w:pStyle w:val="Heading2"/>
        <w:spacing w:after="150" w:before="300"/>
      </w:pPr>
      <w:r>
        <w:rPr>
          <w:rFonts w:ascii="Arial" w:cs="Arial" w:eastAsia="Arial" w:hAnsi="Arial"/>
        </w:rPr>
        <w:t xml:space="preserve">3.2 Fuzzy Match</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fuzzy = contains OR (token_overlap &gt;= 0.5) OR abbreviation_match</w:t>
      </w:r>
    </w:p>
    <w:p>
      <w:pPr>
        <w:spacing w:after="120"/>
      </w:pPr>
      <w:r>
        <w:rPr>
          <w:rFonts w:ascii="Arial" w:cs="Arial" w:eastAsia="Arial" w:hAnsi="Arial"/>
          <w:sz w:val="22"/>
          <w:szCs w:val="22"/>
        </w:rPr>
        <w:t xml:space="preserve">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Tolerates reordering and partial matches.</w:t>
      </w:r>
    </w:p>
    <w:p>
      <w:pPr>
        <w:pStyle w:val="ListParagraph"/>
        <w:numPr>
          <w:ilvl w:val="0"/>
          <w:numId w:val="2"/>
        </w:numPr>
        <w:spacing w:after="60"/>
      </w:pPr>
      <w:r>
        <w:rPr>
          <w:rFonts w:ascii="Arial" w:cs="Arial" w:eastAsia="Arial" w:hAnsi="Arial"/>
          <w:sz w:val="22"/>
          <w:szCs w:val="22"/>
        </w:rPr>
        <w:t xml:space="preserve">Captures abbreviations common in organizer names.</w:t>
      </w:r>
    </w:p>
    <w:p>
      <w:pPr>
        <w:pStyle w:val="ListParagraph"/>
        <w:numPr>
          <w:ilvl w:val="0"/>
          <w:numId w:val="2"/>
        </w:numPr>
        <w:spacing w:after="60"/>
      </w:pPr>
      <w:r>
        <w:rPr>
          <w:rFonts w:ascii="Arial" w:cs="Arial" w:eastAsia="Arial" w:hAnsi="Arial"/>
          <w:sz w:val="22"/>
          <w:szCs w:val="22"/>
        </w:rPr>
        <w:t xml:space="preserve">More realistic than exact for free-text fields.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Threshold (0.5) is a design choice, not theoretically derived.</w:t>
      </w:r>
    </w:p>
    <w:p>
      <w:pPr>
        <w:pStyle w:val="ListParagraph"/>
        <w:numPr>
          <w:ilvl w:val="0"/>
          <w:numId w:val="2"/>
        </w:numPr>
        <w:spacing w:after="60"/>
      </w:pPr>
      <w:r>
        <w:rPr>
          <w:rFonts w:ascii="Arial" w:cs="Arial" w:eastAsia="Arial" w:hAnsi="Arial"/>
          <w:sz w:val="22"/>
          <w:szCs w:val="22"/>
        </w:rPr>
        <w:t xml:space="preserve">Abbreviation match can produce false positives on short strings.</w:t>
      </w:r>
    </w:p>
    <w:p>
      <w:pPr>
        <w:pStyle w:val="ListParagraph"/>
        <w:numPr>
          <w:ilvl w:val="0"/>
          <w:numId w:val="2"/>
        </w:numPr>
        <w:spacing w:after="60"/>
      </w:pPr>
      <w:r>
        <w:rPr>
          <w:rFonts w:ascii="Arial" w:cs="Arial" w:eastAsia="Arial" w:hAnsi="Arial"/>
          <w:sz w:val="22"/>
          <w:szCs w:val="22"/>
        </w:rPr>
        <w:t xml:space="preserve">Bidirectional contains can over-match on very short expected values.</w:t>
      </w:r>
    </w:p>
    <w:p>
      <w:pPr>
        <w:pStyle w:val="Heading2"/>
        <w:spacing w:after="150" w:before="300"/>
      </w:pPr>
      <w:r>
        <w:rPr>
          <w:rFonts w:ascii="Arial" w:cs="Arial" w:eastAsia="Arial" w:hAnsi="Arial"/>
        </w:rPr>
        <w:t xml:space="preserve">3.3 Token Overlap Score</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token_overlap = |expected_tokens ∩ actual_tokens| / min(|expected_tokens|, |actual_tokens|)</w:t>
      </w:r>
    </w:p>
    <w:p>
      <w:pPr>
        <w:spacing w:after="120"/>
      </w:pPr>
      <w:r>
        <w:rPr>
          <w:rFonts w:ascii="Arial" w:cs="Arial" w:eastAsia="Arial" w:hAnsi="Arial"/>
          <w:sz w:val="22"/>
          <w:szCs w:val="22"/>
        </w:rPr>
        <w:t xml:space="preserve">Continuous metric [0, 1]. Measures the fraction of tokens from the shorter string that appear in the longer string. Uses set intersection (order-insensitive). Tokens are space-delimited after normalization.</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Captures partial correctness numerically.</w:t>
      </w:r>
    </w:p>
    <w:p>
      <w:pPr>
        <w:pStyle w:val="ListParagraph"/>
        <w:numPr>
          <w:ilvl w:val="0"/>
          <w:numId w:val="2"/>
        </w:numPr>
        <w:spacing w:after="60"/>
      </w:pPr>
      <w:r>
        <w:rPr>
          <w:rFonts w:ascii="Arial" w:cs="Arial" w:eastAsia="Arial" w:hAnsi="Arial"/>
          <w:sz w:val="22"/>
          <w:szCs w:val="22"/>
        </w:rPr>
        <w:t xml:space="preserve">Order-insensitive.</w:t>
      </w:r>
    </w:p>
    <w:p>
      <w:pPr>
        <w:pStyle w:val="ListParagraph"/>
        <w:numPr>
          <w:ilvl w:val="0"/>
          <w:numId w:val="2"/>
        </w:numPr>
        <w:spacing w:after="60"/>
      </w:pPr>
      <w:r>
        <w:rPr>
          <w:rFonts w:ascii="Arial" w:cs="Arial" w:eastAsia="Arial" w:hAnsi="Arial"/>
          <w:sz w:val="22"/>
          <w:szCs w:val="22"/>
        </w:rPr>
        <w:t xml:space="preserve">Used as input to fuzzy match threshold.</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Does not penalize extra tokens in actual.</w:t>
      </w:r>
    </w:p>
    <w:p>
      <w:pPr>
        <w:pStyle w:val="ListParagraph"/>
        <w:numPr>
          <w:ilvl w:val="0"/>
          <w:numId w:val="2"/>
        </w:numPr>
        <w:spacing w:after="60"/>
      </w:pPr>
      <w:r>
        <w:rPr>
          <w:rFonts w:ascii="Arial" w:cs="Arial" w:eastAsia="Arial" w:hAnsi="Arial"/>
          <w:sz w:val="22"/>
          <w:szCs w:val="22"/>
        </w:rPr>
        <w:t xml:space="preserve">Ignores token ordering.</w:t>
      </w:r>
    </w:p>
    <w:p>
      <w:pPr>
        <w:pStyle w:val="ListParagraph"/>
        <w:numPr>
          <w:ilvl w:val="0"/>
          <w:numId w:val="2"/>
        </w:numPr>
        <w:spacing w:after="60"/>
      </w:pPr>
      <w:r>
        <w:rPr>
          <w:rFonts w:ascii="Arial" w:cs="Arial" w:eastAsia="Arial" w:hAnsi="Arial"/>
          <w:sz w:val="22"/>
          <w:szCs w:val="22"/>
        </w:rPr>
        <w:t xml:space="preserve">Can be high for short strings with one matching token.</w:t>
      </w:r>
    </w:p>
    <w:p>
      <w:pPr>
        <w:pStyle w:val="Heading2"/>
        <w:spacing w:after="150" w:before="300"/>
      </w:pPr>
      <w:r>
        <w:rPr>
          <w:rFonts w:ascii="Arial" w:cs="Arial" w:eastAsia="Arial" w:hAnsi="Arial"/>
        </w:rPr>
        <w:t xml:space="preserve">3.4 Word Error Rate (WER)</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WER = min(Levenshtein(ref_words, hyp_words) / |ref_words|, 1.0)</w:t>
      </w:r>
    </w:p>
    <w:p>
      <w:pPr>
        <w:spacing w:after="120"/>
      </w:pPr>
      <w:r>
        <w:rPr>
          <w:rFonts w:ascii="Arial" w:cs="Arial" w:eastAsia="Arial" w:hAnsi="Arial"/>
          <w:sz w:val="22"/>
          <w:szCs w:val="22"/>
        </w:rPr>
        <w:t xml:space="preserve">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Standard metric in speech recognition and NLP.</w:t>
      </w:r>
    </w:p>
    <w:p>
      <w:pPr>
        <w:pStyle w:val="ListParagraph"/>
        <w:numPr>
          <w:ilvl w:val="0"/>
          <w:numId w:val="2"/>
        </w:numPr>
        <w:spacing w:after="60"/>
      </w:pPr>
      <w:r>
        <w:rPr>
          <w:rFonts w:ascii="Arial" w:cs="Arial" w:eastAsia="Arial" w:hAnsi="Arial"/>
          <w:sz w:val="22"/>
          <w:szCs w:val="22"/>
        </w:rPr>
        <w:t xml:space="preserve">Captures edit distance at word granularity.</w:t>
      </w:r>
    </w:p>
    <w:p>
      <w:pPr>
        <w:pStyle w:val="ListParagraph"/>
        <w:numPr>
          <w:ilvl w:val="0"/>
          <w:numId w:val="2"/>
        </w:numPr>
        <w:spacing w:after="60"/>
      </w:pPr>
      <w:r>
        <w:rPr>
          <w:rFonts w:ascii="Arial" w:cs="Arial" w:eastAsia="Arial" w:hAnsi="Arial"/>
          <w:sz w:val="22"/>
          <w:szCs w:val="22"/>
        </w:rPr>
        <w:t xml:space="preserve">Penalizes both missing and extra words.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Sensitive to word boundary differences.</w:t>
      </w:r>
    </w:p>
    <w:p>
      <w:pPr>
        <w:pStyle w:val="ListParagraph"/>
        <w:numPr>
          <w:ilvl w:val="0"/>
          <w:numId w:val="2"/>
        </w:numPr>
        <w:spacing w:after="60"/>
      </w:pPr>
      <w:r>
        <w:rPr>
          <w:rFonts w:ascii="Arial" w:cs="Arial" w:eastAsia="Arial" w:hAnsi="Arial"/>
          <w:sz w:val="22"/>
          <w:szCs w:val="22"/>
        </w:rPr>
        <w:t xml:space="preserve">Does not account for semantic similarity.</w:t>
      </w:r>
    </w:p>
    <w:p>
      <w:pPr>
        <w:pStyle w:val="ListParagraph"/>
        <w:numPr>
          <w:ilvl w:val="0"/>
          <w:numId w:val="2"/>
        </w:numPr>
        <w:spacing w:after="60"/>
      </w:pPr>
      <w:r>
        <w:rPr>
          <w:rFonts w:ascii="Arial" w:cs="Arial" w:eastAsia="Arial" w:hAnsi="Arial"/>
          <w:sz w:val="22"/>
          <w:szCs w:val="22"/>
        </w:rPr>
        <w:t xml:space="preserve">A perfect substring match with one extra word can still score high.</w:t>
      </w:r>
    </w:p>
    <w:p>
      <w:pPr>
        <w:pStyle w:val="Heading2"/>
        <w:spacing w:after="150" w:before="300"/>
      </w:pPr>
      <w:r>
        <w:rPr>
          <w:rFonts w:ascii="Arial" w:cs="Arial" w:eastAsia="Arial" w:hAnsi="Arial"/>
        </w:rPr>
        <w:t xml:space="preserve">3.5 Character Error Rate (CER)</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CER = min(Levenshtein(ref_chars, hyp_chars) / |ref|, 1.0)</w:t>
      </w:r>
    </w:p>
    <w:p>
      <w:pPr>
        <w:spacing w:after="120"/>
      </w:pPr>
      <w:r>
        <w:rPr>
          <w:rFonts w:ascii="Arial" w:cs="Arial" w:eastAsia="Arial" w:hAnsi="Arial"/>
          <w:sz w:val="22"/>
          <w:szCs w:val="22"/>
        </w:rPr>
        <w:t xml:space="preserve">Continuous metric [0, 1]. Same as WER but at character level. More granular than WER — a single typo in one word increases CER but may not affect WER if word boundaries differ.</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More granular than WER.</w:t>
      </w:r>
    </w:p>
    <w:p>
      <w:pPr>
        <w:pStyle w:val="ListParagraph"/>
        <w:numPr>
          <w:ilvl w:val="0"/>
          <w:numId w:val="2"/>
        </w:numPr>
        <w:spacing w:after="60"/>
      </w:pPr>
      <w:r>
        <w:rPr>
          <w:rFonts w:ascii="Arial" w:cs="Arial" w:eastAsia="Arial" w:hAnsi="Arial"/>
          <w:sz w:val="22"/>
          <w:szCs w:val="22"/>
        </w:rPr>
        <w:t xml:space="preserve">Catches character-level OCR errors.</w:t>
      </w:r>
    </w:p>
    <w:p>
      <w:pPr>
        <w:pStyle w:val="ListParagraph"/>
        <w:numPr>
          <w:ilvl w:val="0"/>
          <w:numId w:val="2"/>
        </w:numPr>
        <w:spacing w:after="60"/>
      </w:pPr>
      <w:r>
        <w:rPr>
          <w:rFonts w:ascii="Arial" w:cs="Arial" w:eastAsia="Arial" w:hAnsi="Arial"/>
          <w:sz w:val="22"/>
          <w:szCs w:val="22"/>
        </w:rPr>
        <w:t xml:space="preserve">Useful for short fields (dates, numbers).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Can be noisy for long text fields.</w:t>
      </w:r>
    </w:p>
    <w:p>
      <w:pPr>
        <w:pStyle w:val="ListParagraph"/>
        <w:numPr>
          <w:ilvl w:val="0"/>
          <w:numId w:val="2"/>
        </w:numPr>
        <w:spacing w:after="60"/>
      </w:pPr>
      <w:r>
        <w:rPr>
          <w:rFonts w:ascii="Arial" w:cs="Arial" w:eastAsia="Arial" w:hAnsi="Arial"/>
          <w:sz w:val="22"/>
          <w:szCs w:val="22"/>
        </w:rPr>
        <w:t xml:space="preserve">Same semantic content with different characterizations scores poorly.</w:t>
      </w:r>
    </w:p>
    <w:p>
      <w:pPr>
        <w:pStyle w:val="ListParagraph"/>
        <w:numPr>
          <w:ilvl w:val="0"/>
          <w:numId w:val="2"/>
        </w:numPr>
        <w:spacing w:after="60"/>
      </w:pPr>
      <w:r>
        <w:rPr>
          <w:rFonts w:ascii="Arial" w:cs="Arial" w:eastAsia="Arial" w:hAnsi="Arial"/>
          <w:sz w:val="22"/>
          <w:szCs w:val="22"/>
        </w:rPr>
        <w:t xml:space="preserve">Less interpretable than WER for non-technical audiences.</w:t>
      </w:r>
    </w:p>
    <w:p>
      <w:pPr>
        <w:pStyle w:val="Heading2"/>
        <w:spacing w:after="150" w:before="300"/>
      </w:pPr>
      <w:r>
        <w:rPr>
          <w:rFonts w:ascii="Arial" w:cs="Arial" w:eastAsia="Arial" w:hAnsi="Arial"/>
        </w:rPr>
        <w:t xml:space="preserve">3.6 Contains Match</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contains = (normalize(expected) in normalize(actual)) OR (normalize(actual) in normalize(expected))</w:t>
      </w:r>
    </w:p>
    <w:p>
      <w:pPr>
        <w:spacing w:after="120"/>
      </w:pPr>
      <w:r>
        <w:rPr>
          <w:rFonts w:ascii="Arial" w:cs="Arial" w:eastAsia="Arial" w:hAnsi="Arial"/>
          <w:sz w:val="22"/>
          <w:szCs w:val="22"/>
        </w:rPr>
        <w:t xml:space="preserve">Binary metric: 1 if one normalized string is a substring of the other. Bidirectional — checks both directions. Useful when the extractor returns a superset of the expected value (e.g., full name vs. abbreviation).</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Simple bidirectional substring check.</w:t>
      </w:r>
    </w:p>
    <w:p>
      <w:pPr>
        <w:pStyle w:val="ListParagraph"/>
        <w:numPr>
          <w:ilvl w:val="0"/>
          <w:numId w:val="2"/>
        </w:numPr>
        <w:spacing w:after="60"/>
      </w:pPr>
      <w:r>
        <w:rPr>
          <w:rFonts w:ascii="Arial" w:cs="Arial" w:eastAsia="Arial" w:hAnsi="Arial"/>
          <w:sz w:val="22"/>
          <w:szCs w:val="22"/>
        </w:rPr>
        <w:t xml:space="preserve">Catches partial matches (e.g., organizer name truncated).</w:t>
      </w:r>
    </w:p>
    <w:p>
      <w:pPr>
        <w:pStyle w:val="ListParagraph"/>
        <w:numPr>
          <w:ilvl w:val="0"/>
          <w:numId w:val="2"/>
        </w:numPr>
        <w:spacing w:after="60"/>
      </w:pPr>
      <w:r>
        <w:rPr>
          <w:rFonts w:ascii="Arial" w:cs="Arial" w:eastAsia="Arial" w:hAnsi="Arial"/>
          <w:sz w:val="22"/>
          <w:szCs w:val="22"/>
        </w:rPr>
        <w:t xml:space="preserve">Used as input to fuzzy match.</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Bidirectional can over-match on short strings.</w:t>
      </w:r>
    </w:p>
    <w:p>
      <w:pPr>
        <w:pStyle w:val="ListParagraph"/>
        <w:numPr>
          <w:ilvl w:val="0"/>
          <w:numId w:val="2"/>
        </w:numPr>
        <w:spacing w:after="60"/>
      </w:pPr>
      <w:r>
        <w:rPr>
          <w:rFonts w:ascii="Arial" w:cs="Arial" w:eastAsia="Arial" w:hAnsi="Arial"/>
          <w:sz w:val="22"/>
          <w:szCs w:val="22"/>
        </w:rPr>
        <w:t xml:space="preserve">Does not measure degree of overlap.</w:t>
      </w:r>
    </w:p>
    <w:p>
      <w:pPr>
        <w:pStyle w:val="ListParagraph"/>
        <w:numPr>
          <w:ilvl w:val="0"/>
          <w:numId w:val="2"/>
        </w:numPr>
        <w:spacing w:after="60"/>
      </w:pPr>
      <w:r>
        <w:rPr>
          <w:rFonts w:ascii="Arial" w:cs="Arial" w:eastAsia="Arial" w:hAnsi="Arial"/>
          <w:sz w:val="22"/>
          <w:szCs w:val="22"/>
        </w:rPr>
        <w:t xml:space="preserve">Sensitive to normalization differences.</w:t>
      </w:r>
    </w:p>
    <w:p>
      <w:pPr>
        <w:pStyle w:val="Heading2"/>
        <w:spacing w:after="150" w:before="300"/>
      </w:pPr>
      <w:r>
        <w:rPr>
          <w:rFonts w:ascii="Arial" w:cs="Arial" w:eastAsia="Arial" w:hAnsi="Arial"/>
        </w:rPr>
        <w:t xml:space="preserve">3.7 Confidence Score</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confidence = extractor_confidence (range: 0.0 to 1.0)</w:t>
      </w:r>
    </w:p>
    <w:p>
      <w:pPr>
        <w:spacing w:after="120"/>
      </w:pPr>
      <w:r>
        <w:rPr>
          <w:rFonts w:ascii="Arial" w:cs="Arial" w:eastAsia="Arial" w:hAnsi="Arial"/>
          <w:sz w:val="22"/>
          <w:szCs w:val="22"/>
        </w:rPr>
        <w:t xml:space="preserve">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Enables selective LLM invocation.</w:t>
      </w:r>
    </w:p>
    <w:p>
      <w:pPr>
        <w:pStyle w:val="ListParagraph"/>
        <w:numPr>
          <w:ilvl w:val="0"/>
          <w:numId w:val="2"/>
        </w:numPr>
        <w:spacing w:after="60"/>
      </w:pPr>
      <w:r>
        <w:rPr>
          <w:rFonts w:ascii="Arial" w:cs="Arial" w:eastAsia="Arial" w:hAnsi="Arial"/>
          <w:sz w:val="22"/>
          <w:szCs w:val="22"/>
        </w:rPr>
        <w:t xml:space="preserve">Useful for identifying uncertain extractions.</w:t>
      </w:r>
    </w:p>
    <w:p>
      <w:pPr>
        <w:pStyle w:val="ListParagraph"/>
        <w:numPr>
          <w:ilvl w:val="0"/>
          <w:numId w:val="2"/>
        </w:numPr>
        <w:spacing w:after="60"/>
      </w:pPr>
      <w:r>
        <w:rPr>
          <w:rFonts w:ascii="Arial" w:cs="Arial" w:eastAsia="Arial" w:hAnsi="Arial"/>
          <w:sz w:val="22"/>
          <w:szCs w:val="22"/>
        </w:rPr>
        <w:t xml:space="preserve">Method-dependent — not comparable across extractors.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Not a ground-truth comparison metric.</w:t>
      </w:r>
    </w:p>
    <w:p>
      <w:pPr>
        <w:pStyle w:val="ListParagraph"/>
        <w:numPr>
          <w:ilvl w:val="0"/>
          <w:numId w:val="2"/>
        </w:numPr>
        <w:spacing w:after="60"/>
      </w:pPr>
      <w:r>
        <w:rPr>
          <w:rFonts w:ascii="Arial" w:cs="Arial" w:eastAsia="Arial" w:hAnsi="Arial"/>
          <w:sz w:val="22"/>
          <w:szCs w:val="22"/>
        </w:rPr>
        <w:t xml:space="preserve">Threshold selection is heuristic.</w:t>
      </w:r>
    </w:p>
    <w:p>
      <w:pPr>
        <w:pStyle w:val="ListParagraph"/>
        <w:numPr>
          <w:ilvl w:val="0"/>
          <w:numId w:val="2"/>
        </w:numPr>
        <w:spacing w:after="60"/>
      </w:pPr>
      <w:r>
        <w:rPr>
          <w:rFonts w:ascii="Arial" w:cs="Arial" w:eastAsia="Arial" w:hAnsi="Arial"/>
          <w:sz w:val="22"/>
          <w:szCs w:val="22"/>
        </w:rPr>
        <w:t xml:space="preserve">Can be poorly calibrated.</w:t>
      </w:r>
    </w:p>
    <w:p>
      <w:pPr>
        <w:pStyle w:val="Heading1"/>
        <w:spacing w:after="150" w:before="300"/>
      </w:pPr>
      <w:r>
        <w:rPr>
          <w:rFonts w:ascii="Arial" w:cs="Arial" w:eastAsia="Arial" w:hAnsi="Arial"/>
        </w:rPr>
        <w:t xml:space="preserve">4. Aggregation</w:t>
      </w:r>
    </w:p>
    <w:p>
      <w:pPr>
        <w:pStyle w:val="Heading2"/>
        <w:spacing w:after="150" w:before="300"/>
      </w:pPr>
      <w:r>
        <w:rPr>
          <w:rFonts w:ascii="Arial" w:cs="Arial" w:eastAsia="Arial" w:hAnsi="Arial"/>
        </w:rPr>
        <w:t xml:space="preserve">4.1 Per-Field Metrics</w:t>
      </w:r>
    </w:p>
    <w:p>
      <w:pPr>
        <w:spacing w:after="120"/>
      </w:pPr>
      <w:r>
        <w:rPr>
          <w:rFonts w:ascii="Arial" w:cs="Arial" w:eastAsia="Arial" w:hAnsi="Arial"/>
          <w:sz w:val="22"/>
          <w:szCs w:val="22"/>
        </w:rPr>
        <w:t xml:space="preserve">For each field, metrics are aggregated across all certificates:</w:t>
      </w:r>
    </w:p>
    <w:p>
      <w:pPr>
        <w:spacing w:after="100" w:before="100"/>
        <w:jc w:val="center"/>
      </w:pPr>
      <w:r>
        <w:rPr>
          <w:rFonts w:ascii="Consolas" w:cs="Consolas" w:eastAsia="Consolas" w:hAnsi="Consolas"/>
          <w:i/>
          <w:iCs/>
          <w:sz w:val="22"/>
          <w:szCs w:val="22"/>
        </w:rPr>
        <w:t xml:space="preserve">exact_acc(field) = count(exact=1) / count(all)</w:t>
      </w:r>
    </w:p>
    <w:p>
      <w:pPr>
        <w:spacing w:after="100" w:before="100"/>
        <w:jc w:val="center"/>
      </w:pPr>
      <w:r>
        <w:rPr>
          <w:rFonts w:ascii="Consolas" w:cs="Consolas" w:eastAsia="Consolas" w:hAnsi="Consolas"/>
          <w:i/>
          <w:iCs/>
          <w:sz w:val="22"/>
          <w:szCs w:val="22"/>
        </w:rPr>
        <w:t xml:space="preserve">fuzzy_acc(field) = count(fuzzy=1) / count(all)</w:t>
      </w:r>
    </w:p>
    <w:p>
      <w:pPr>
        <w:spacing w:after="100" w:before="100"/>
        <w:jc w:val="center"/>
      </w:pPr>
      <w:r>
        <w:rPr>
          <w:rFonts w:ascii="Consolas" w:cs="Consolas" w:eastAsia="Consolas" w:hAnsi="Consolas"/>
          <w:i/>
          <w:iCs/>
          <w:sz w:val="22"/>
          <w:szCs w:val="22"/>
        </w:rPr>
        <w:t xml:space="preserve">avg_wer(field) = mean(WER_i) for all certificates</w:t>
      </w:r>
    </w:p>
    <w:p>
      <w:pPr>
        <w:spacing w:after="100" w:before="100"/>
        <w:jc w:val="center"/>
      </w:pPr>
      <w:r>
        <w:rPr>
          <w:rFonts w:ascii="Consolas" w:cs="Consolas" w:eastAsia="Consolas" w:hAnsi="Consolas"/>
          <w:i/>
          <w:iCs/>
          <w:sz w:val="22"/>
          <w:szCs w:val="22"/>
        </w:rPr>
        <w:t xml:space="preserve">avg_cer(field) = mean(CER_i) for all certificates</w:t>
      </w:r>
    </w:p>
    <w:p>
      <w:pPr>
        <w:pStyle w:val="Heading2"/>
        <w:spacing w:after="150" w:before="300"/>
      </w:pPr>
      <w:r>
        <w:rPr>
          <w:rFonts w:ascii="Arial" w:cs="Arial" w:eastAsia="Arial" w:hAnsi="Arial"/>
        </w:rPr>
        <w:t xml:space="preserve">4.2 Overall Metrics (macro_avg)</w:t>
      </w:r>
    </w:p>
    <w:p>
      <w:pPr>
        <w:spacing w:after="120"/>
      </w:pPr>
      <w:r>
        <w:rPr>
          <w:rFonts w:ascii="Arial" w:cs="Arial" w:eastAsia="Arial" w:hAnsi="Arial"/>
          <w:sz w:val="22"/>
          <w:szCs w:val="22"/>
        </w:rPr>
        <w:t xml:space="preserve">The macro_avg in this codebase is technically a micro-average — it sums correct predictions across all fields and divides by total predictions across all fields:</w:t>
      </w:r>
    </w:p>
    <w:p>
      <w:pPr>
        <w:spacing w:after="100" w:before="100"/>
        <w:jc w:val="center"/>
      </w:pPr>
      <w:r>
        <w:rPr>
          <w:rFonts w:ascii="Consolas" w:cs="Consolas" w:eastAsia="Consolas" w:hAnsi="Consolas"/>
          <w:i/>
          <w:iCs/>
          <w:sz w:val="22"/>
          <w:szCs w:val="22"/>
        </w:rPr>
        <w:t xml:space="preserve">macro_avg = Σ exact_ok(field) / Σ total(field)</w:t>
      </w:r>
    </w:p>
    <w:p>
      <w:pPr>
        <w:spacing w:after="120"/>
      </w:pPr>
      <w:r>
        <w:rPr>
          <w:rFonts w:ascii="Arial" w:cs="Arial" w:eastAsia="Arial" w:hAnsi="Arial"/>
          <w:sz w:val="22"/>
          <w:szCs w:val="22"/>
        </w:rPr>
        <w:t xml:space="preserve">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pPr>
        <w:spacing w:after="120"/>
      </w:pPr>
      <w:r>
        <w:rPr>
          <w:rFonts w:ascii="Arial" w:cs="Arial" w:eastAsia="Arial" w:hAnsi="Arial"/>
          <w:sz w:val="22"/>
          <w:szCs w:val="22"/>
        </w:rPr>
        <w:t xml:space="preserve">Trade-off: Micro-average is more stable (less variance from small fields) but can mask poor performance on rare fields. For this dataset with 74 certificates and relatively balanced field coverage, the difference is small.</w:t>
      </w:r>
    </w:p>
    <w:p>
      <w:pPr>
        <w:pStyle w:val="Heading1"/>
        <w:spacing w:after="150" w:before="300"/>
      </w:pPr>
      <w:r>
        <w:rPr>
          <w:rFonts w:ascii="Arial" w:cs="Arial" w:eastAsia="Arial" w:hAnsi="Arial"/>
        </w:rPr>
        <w:t xml:space="preserve">5. Evaluation Pipeline</w:t>
      </w:r>
    </w:p>
    <w:p>
      <w:pPr>
        <w:spacing w:after="120"/>
      </w:pPr>
      <w:r>
        <w:rPr>
          <w:rFonts w:ascii="Arial" w:cs="Arial" w:eastAsia="Arial" w:hAnsi="Arial"/>
          <w:sz w:val="22"/>
          <w:szCs w:val="22"/>
        </w:rPr>
        <w:t xml:space="preserve">The evaluation follows a 4-step pipeline:</w:t>
      </w:r>
    </w:p>
    <w:p>
      <w:pPr>
        <w:spacing w:after="80"/>
      </w:pPr>
      <w:r>
        <w:rPr>
          <w:rFonts w:ascii="Arial" w:cs="Arial" w:eastAsia="Arial" w:hAnsi="Arial"/>
          <w:b/>
          <w:bCs/>
          <w:sz w:val="22"/>
          <w:szCs w:val="22"/>
        </w:rPr>
        <w:t xml:space="preserve">Step 1: Ground Truth Loading</w:t>
      </w:r>
    </w:p>
    <w:p>
      <w:pPr>
        <w:spacing w:after="120"/>
      </w:pPr>
      <w:r>
        <w:rPr>
          <w:rFonts w:ascii="Arial" w:cs="Arial" w:eastAsia="Arial" w:hAnsi="Arial"/>
          <w:sz w:val="22"/>
          <w:szCs w:val="22"/>
        </w:rPr>
        <w:t xml:space="preserve">Load Ground_Truth_Sertifikat.csv (74 rows, 8 columns). Each row maps a PDF filename to its expected field values. The TINGKAT_GT_MAP translates old GT labels to canonical form.</w:t>
      </w:r>
    </w:p>
    <w:p>
      <w:pPr>
        <w:spacing w:after="80"/>
      </w:pPr>
      <w:r>
        <w:rPr>
          <w:rFonts w:ascii="Arial" w:cs="Arial" w:eastAsia="Arial" w:hAnsi="Arial"/>
          <w:b/>
          <w:bCs/>
          <w:sz w:val="22"/>
          <w:szCs w:val="22"/>
        </w:rPr>
        <w:t xml:space="preserve">Step 2: Field Extraction</w:t>
      </w:r>
    </w:p>
    <w:p>
      <w:pPr>
        <w:spacing w:after="120"/>
      </w:pPr>
      <w:r>
        <w:rPr>
          <w:rFonts w:ascii="Arial" w:cs="Arial" w:eastAsia="Arial" w:hAnsi="Arial"/>
          <w:sz w:val="22"/>
          <w:szCs w:val="22"/>
        </w:rPr>
        <w:t xml:space="preserve">Each certificate is processed by one or more extraction methods (regex, NER, LLM). The extractor returns a dict of ExtractedValue objects (value, confidence, source).</w:t>
      </w:r>
    </w:p>
    <w:p>
      <w:pPr>
        <w:spacing w:after="80"/>
      </w:pPr>
      <w:r>
        <w:rPr>
          <w:rFonts w:ascii="Arial" w:cs="Arial" w:eastAsia="Arial" w:hAnsi="Arial"/>
          <w:b/>
          <w:bCs/>
          <w:sz w:val="22"/>
          <w:szCs w:val="22"/>
        </w:rPr>
        <w:t xml:space="preserve">Step 3: Matching</w:t>
      </w:r>
    </w:p>
    <w:p>
      <w:pPr>
        <w:spacing w:after="120"/>
      </w:pPr>
      <w:r>
        <w:rPr>
          <w:rFonts w:ascii="Arial" w:cs="Arial" w:eastAsia="Arial" w:hAnsi="Arial"/>
          <w:sz w:val="22"/>
          <w:szCs w:val="22"/>
        </w:rPr>
        <w:t xml:space="preserve">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pPr>
        <w:spacing w:after="80"/>
      </w:pPr>
      <w:r>
        <w:rPr>
          <w:rFonts w:ascii="Arial" w:cs="Arial" w:eastAsia="Arial" w:hAnsi="Arial"/>
          <w:b/>
          <w:bCs/>
          <w:sz w:val="22"/>
          <w:szCs w:val="22"/>
        </w:rPr>
        <w:t xml:space="preserve">Step 4: Aggregation</w:t>
      </w:r>
    </w:p>
    <w:p>
      <w:pPr>
        <w:spacing w:after="120"/>
      </w:pPr>
      <w:r>
        <w:rPr>
          <w:rFonts w:ascii="Arial" w:cs="Arial" w:eastAsia="Arial" w:hAnsi="Arial"/>
          <w:sz w:val="22"/>
          <w:szCs w:val="22"/>
        </w:rPr>
        <w:t xml:space="preserve">aggregate_results() collects per-field counts and computes exact_acc, fuzzy_acc, avg_wer, avg_cer, and the overall micro-average.</w:t>
      </w:r>
    </w:p>
    <w:p>
      <w:pPr>
        <w:pStyle w:val="Heading1"/>
        <w:spacing w:after="150" w:before="300"/>
      </w:pPr>
      <w:r>
        <w:rPr>
          <w:rFonts w:ascii="Arial" w:cs="Arial" w:eastAsia="Arial" w:hAnsi="Arial"/>
        </w:rPr>
        <w:t xml:space="preserve">6. Benchmark Methods</w:t>
      </w:r>
    </w:p>
    <w:p>
      <w:pPr>
        <w:spacing w:after="120"/>
      </w:pPr>
      <w:r>
        <w:rPr>
          <w:rFonts w:ascii="Arial" w:cs="Arial" w:eastAsia="Arial" w:hAnsi="Arial"/>
          <w:sz w:val="22"/>
          <w:szCs w:val="22"/>
        </w:rPr>
        <w:t xml:space="preserve">The following extraction methods have been benchmarked: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41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Approach</w:t>
            </w:r>
          </w:p>
        </w:tc>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Key Characteristics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Baseline</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PyMuPDF + Docling + OCR + regex patterns</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Fast (~0.1s/cert), no ML deps</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v1</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IndoBERT NER (treamyracle/indobert-ner-gold)</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~0.07s/cert, needs GPU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 (NER+regex)</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 for text fields, regex for structured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Combines strengths of both</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Hybrid+PP</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 + post-processing (filter_signer_roles)</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Best non-LLM method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A1 (per-field)</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Ollama llama3.1:8b, per-field prompts</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834 tok/cert, 47.3% tingkat</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A2 v2 (full-text)</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Ollama llama3.1:8b, full text prompt</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834 tok/cert, 36.5% tingkat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v3 Variant A</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Context-only prompt, no raw text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410 tok/cert, 24.3% tingkat</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v3 Variant B</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Context + minimize_text() relevant lines</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479 tok/cert, 39.2% tingkat</w:t>
            </w:r>
          </w:p>
        </w:tc>
      </w:tr>
    </w:tbl>
    <w:p>
      <w:pPr>
        <w:spacing w:after="120"/>
      </w:pPr>
    </w:p>
    <w:p>
      <w:pPr>
        <w:pStyle w:val="Heading1"/>
        <w:spacing w:after="150" w:before="300"/>
      </w:pPr>
      <w:r>
        <w:rPr>
          <w:rFonts w:ascii="Arial" w:cs="Arial" w:eastAsia="Arial" w:hAnsi="Arial"/>
        </w:rPr>
        <w:t xml:space="preserve">7. Results Summary</w:t>
      </w:r>
    </w:p>
    <w:p>
      <w:pPr>
        <w:spacing w:after="120"/>
      </w:pPr>
      <w:r>
        <w:rPr>
          <w:rFonts w:ascii="Arial" w:cs="Arial" w:eastAsia="Arial" w:hAnsi="Arial"/>
          <w:sz w:val="22"/>
          <w:szCs w:val="22"/>
        </w:rPr>
        <w:t xml:space="preserve">Latest benchmark results on 74 certificates (llama3.1:8b for LLM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400"/>
        <w:gridCol w:w="1400"/>
        <w:gridCol w:w="1360"/>
      </w:tblGrid>
      <w:tr>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Tokens/cert</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Tingkat</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MACRO exact</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Acc/token</w:t>
            </w:r>
          </w:p>
        </w:tc>
        <w:tc>
          <w:tcPr>
            <w:tcW w:type="dxa" w:w="1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Latency</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Baseline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~0.1s</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v1</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18.4%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~0.07s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Hybrid+PP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~0.6s</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A1</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834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47.3%</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49.0%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0.057</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A2 v2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36.5%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58.3%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0.044</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~2.5s</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v3-A</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410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24.3%</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43.5%</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0.059</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v3-B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0.082</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~1s</w:t>
            </w:r>
          </w:p>
        </w:tc>
      </w:tr>
    </w:tbl>
    <w:p>
      <w:pPr>
        <w:spacing w:after="120"/>
      </w:pPr>
    </w:p>
    <w:p>
      <w:pPr>
        <w:pStyle w:val="Heading1"/>
        <w:spacing w:after="150" w:before="300"/>
      </w:pPr>
      <w:r>
        <w:rPr>
          <w:rFonts w:ascii="Arial" w:cs="Arial" w:eastAsia="Arial" w:hAnsi="Arial"/>
        </w:rPr>
        <w:t xml:space="preserve">8. Error Analysis</w:t>
      </w:r>
    </w:p>
    <w:p>
      <w:pPr>
        <w:pStyle w:val="Heading2"/>
        <w:spacing w:after="150" w:before="300"/>
      </w:pPr>
      <w:r>
        <w:rPr>
          <w:rFonts w:ascii="Arial" w:cs="Arial" w:eastAsia="Arial" w:hAnsi="Arial"/>
        </w:rPr>
        <w:t xml:space="preserve">8.1 Error Types</w:t>
      </w:r>
    </w:p>
    <w:p>
      <w:pPr>
        <w:spacing w:after="120"/>
      </w:pPr>
      <w:r>
        <w:rPr>
          <w:rFonts w:ascii="Arial" w:cs="Arial" w:eastAsia="Arial" w:hAnsi="Arial"/>
          <w:sz w:val="22"/>
          <w:szCs w:val="22"/>
        </w:rPr>
        <w:t xml:space="preserve">The mismatches.csv output categorizes errors into two types:</w:t>
      </w:r>
    </w:p>
    <w:p>
      <w:pPr>
        <w:spacing w:after="80"/>
      </w:pPr>
      <w:r>
        <w:rPr>
          <w:rFonts w:ascii="Arial" w:cs="Arial" w:eastAsia="Arial" w:hAnsi="Arial"/>
          <w:b/>
          <w:bCs/>
          <w:sz w:val="22"/>
          <w:szCs w:val="22"/>
        </w:rPr>
        <w:t xml:space="preserve">null — Extractor returned no value</w:t>
      </w:r>
    </w:p>
    <w:p>
      <w:pPr>
        <w:spacing w:after="120"/>
      </w:pPr>
      <w:r>
        <w:rPr>
          <w:rFonts w:ascii="Arial" w:cs="Arial" w:eastAsia="Arial" w:hAnsi="Arial"/>
          <w:sz w:val="22"/>
          <w:szCs w:val="22"/>
        </w:rPr>
        <w:t xml:space="preserve">The field was not extracted at all. Common causes: regex pattern did not match, NER entity not recognized, LLM returned TIDAK_DITEMUKAN or an invalid response.</w:t>
      </w:r>
    </w:p>
    <w:p>
      <w:pPr>
        <w:spacing w:after="80"/>
      </w:pPr>
      <w:r>
        <w:rPr>
          <w:rFonts w:ascii="Arial" w:cs="Arial" w:eastAsia="Arial" w:hAnsi="Arial"/>
          <w:b/>
          <w:bCs/>
          <w:sz w:val="22"/>
          <w:szCs w:val="22"/>
        </w:rPr>
        <w:t xml:space="preserve">mismatch — Extractor returned wrong value</w:t>
      </w:r>
    </w:p>
    <w:p>
      <w:pPr>
        <w:spacing w:after="120"/>
      </w:pPr>
      <w:r>
        <w:rPr>
          <w:rFonts w:ascii="Arial" w:cs="Arial" w:eastAsia="Arial" w:hAnsi="Arial"/>
          <w:sz w:val="22"/>
          <w:szCs w:val="22"/>
        </w:rPr>
        <w:t xml:space="preserve">A value was extracted but does not match ground truth. Common causes: OCR errors propagated through extraction, incorrect field boundary detection, organizer name abbreviated differently than GT, date format mismatch.</w:t>
      </w:r>
    </w:p>
    <w:p>
      <w:pPr>
        <w:pStyle w:val="Heading2"/>
        <w:spacing w:after="150" w:before="300"/>
      </w:pPr>
      <w:r>
        <w:rPr>
          <w:rFonts w:ascii="Arial" w:cs="Arial" w:eastAsia="Arial" w:hAnsi="Arial"/>
        </w:rPr>
        <w:t xml:space="preserve">8.2 Common Error Patterns</w:t>
      </w:r>
    </w:p>
    <w:p>
      <w:pPr>
        <w:pStyle w:val="ListParagraph"/>
        <w:numPr>
          <w:ilvl w:val="0"/>
          <w:numId w:val="2"/>
        </w:numPr>
        <w:spacing w:after="60"/>
      </w:pPr>
      <w:r>
        <w:rPr>
          <w:rFonts w:ascii="Arial" w:cs="Arial" w:eastAsia="Arial" w:hAnsi="Arial"/>
          <w:sz w:val="22"/>
          <w:szCs w:val="22"/>
        </w:rPr>
        <w:t xml:space="preserve">penyelenggara_kegiatan: Most common errors — organizer names vary significantly between extraction and GT (e.g., BEM FEB vs. full name).</w:t>
      </w:r>
    </w:p>
    <w:p>
      <w:pPr>
        <w:pStyle w:val="ListParagraph"/>
        <w:numPr>
          <w:ilvl w:val="0"/>
          <w:numId w:val="2"/>
        </w:numPr>
        <w:spacing w:after="60"/>
      </w:pPr>
      <w:r>
        <w:rPr>
          <w:rFonts w:ascii="Arial" w:cs="Arial" w:eastAsia="Arial" w:hAnsi="Arial"/>
          <w:sz w:val="22"/>
          <w:szCs w:val="22"/>
        </w:rPr>
        <w:t xml:space="preserve">nama_kegiatan_sertifikasi: Event names with parenthetical descriptions or subtitles often mismatch.</w:t>
      </w:r>
    </w:p>
    <w:p>
      <w:pPr>
        <w:pStyle w:val="ListParagraph"/>
        <w:numPr>
          <w:ilvl w:val="0"/>
          <w:numId w:val="2"/>
        </w:numPr>
        <w:spacing w:after="60"/>
      </w:pPr>
      <w:r>
        <w:rPr>
          <w:rFonts w:ascii="Arial" w:cs="Arial" w:eastAsia="Arial" w:hAnsi="Arial"/>
          <w:sz w:val="22"/>
          <w:szCs w:val="22"/>
        </w:rPr>
        <w:t xml:space="preserve">tingkat: 25 of 74 certificates are Nasional level with no explicit signal in the text (requires external knowledge).</w:t>
      </w:r>
    </w:p>
    <w:p>
      <w:pPr>
        <w:pStyle w:val="ListParagraph"/>
        <w:numPr>
          <w:ilvl w:val="0"/>
          <w:numId w:val="2"/>
        </w:numPr>
        <w:spacing w:after="60"/>
      </w:pPr>
      <w:r>
        <w:rPr>
          <w:rFonts w:ascii="Arial" w:cs="Arial" w:eastAsia="Arial" w:hAnsi="Arial"/>
          <w:sz w:val="22"/>
          <w:szCs w:val="22"/>
        </w:rPr>
        <w:t xml:space="preserve">nomor_bukti_fisik: OCR errors in certificate numbers (e.g., 0 vs O, 1 vs I) cause mismatches.</w:t>
      </w:r>
    </w:p>
    <w:p>
      <w:pPr>
        <w:pStyle w:val="ListParagraph"/>
        <w:numPr>
          <w:ilvl w:val="0"/>
          <w:numId w:val="2"/>
        </w:numPr>
        <w:spacing w:after="60"/>
      </w:pPr>
      <w:r>
        <w:rPr>
          <w:rFonts w:ascii="Arial" w:cs="Arial" w:eastAsia="Arial" w:hAnsi="Arial"/>
          <w:sz w:val="22"/>
          <w:szCs w:val="22"/>
        </w:rPr>
        <w:t xml:space="preserve">waktu_mulai/selesai: Date format variations (e.g., 29/09/2024 vs 29 September 2024) are mostly handled by normalize_date, but edge cases remain.</w:t>
      </w:r>
    </w:p>
    <w:p>
      <w:pPr>
        <w:pStyle w:val="Heading1"/>
        <w:spacing w:after="150" w:before="300"/>
      </w:pPr>
      <w:r>
        <w:rPr>
          <w:rFonts w:ascii="Arial" w:cs="Arial" w:eastAsia="Arial" w:hAnsi="Arial"/>
        </w:rPr>
        <w:t xml:space="preserve">9. Limitations and Caveats</w:t>
      </w:r>
    </w:p>
    <w:p>
      <w:pPr>
        <w:pStyle w:val="ListParagraph"/>
        <w:numPr>
          <w:ilvl w:val="0"/>
          <w:numId w:val="2"/>
        </w:numPr>
        <w:spacing w:after="60"/>
      </w:pPr>
      <w:r>
        <w:rPr>
          <w:rFonts w:ascii="Arial" w:cs="Arial" w:eastAsia="Arial" w:hAnsi="Arial"/>
          <w:sz w:val="22"/>
          <w:szCs w:val="22"/>
        </w:rPr>
        <w:t xml:space="preserve">The micro-average labeled 'macro_avg' in code is not a true macro-average. See Section 4.2.</w:t>
      </w:r>
    </w:p>
    <w:p>
      <w:pPr>
        <w:pStyle w:val="ListParagraph"/>
        <w:numPr>
          <w:ilvl w:val="0"/>
          <w:numId w:val="2"/>
        </w:numPr>
        <w:spacing w:after="60"/>
      </w:pPr>
      <w:r>
        <w:rPr>
          <w:rFonts w:ascii="Arial" w:cs="Arial" w:eastAsia="Arial" w:hAnsi="Arial"/>
          <w:sz w:val="22"/>
          <w:szCs w:val="22"/>
        </w:rPr>
        <w:t xml:space="preserve">Tingkat evaluation is limited: 25 of 74 certificates have no text signal for Nasional level, capping maximum achievable accuracy.</w:t>
      </w:r>
    </w:p>
    <w:p>
      <w:pPr>
        <w:pStyle w:val="ListParagraph"/>
        <w:numPr>
          <w:ilvl w:val="0"/>
          <w:numId w:val="2"/>
        </w:numPr>
        <w:spacing w:after="60"/>
      </w:pPr>
      <w:r>
        <w:rPr>
          <w:rFonts w:ascii="Arial" w:cs="Arial" w:eastAsia="Arial" w:hAnsi="Arial"/>
          <w:sz w:val="22"/>
          <w:szCs w:val="22"/>
        </w:rPr>
        <w:t xml:space="preserve">Abbreviation matching is heuristic-based and can produce false positives on short strings (&lt; 2 words).</w:t>
      </w:r>
    </w:p>
    <w:p>
      <w:pPr>
        <w:pStyle w:val="ListParagraph"/>
        <w:numPr>
          <w:ilvl w:val="0"/>
          <w:numId w:val="2"/>
        </w:numPr>
        <w:spacing w:after="60"/>
      </w:pPr>
      <w:r>
        <w:rPr>
          <w:rFonts w:ascii="Arial" w:cs="Arial" w:eastAsia="Arial" w:hAnsi="Arial"/>
          <w:sz w:val="22"/>
          <w:szCs w:val="22"/>
        </w:rPr>
        <w:t xml:space="preserve">Confidence scores are method-dependent and not comparable across extractors.</w:t>
      </w:r>
    </w:p>
    <w:p>
      <w:pPr>
        <w:pStyle w:val="ListParagraph"/>
        <w:numPr>
          <w:ilvl w:val="0"/>
          <w:numId w:val="2"/>
        </w:numPr>
        <w:spacing w:after="60"/>
      </w:pPr>
      <w:r>
        <w:rPr>
          <w:rFonts w:ascii="Arial" w:cs="Arial" w:eastAsia="Arial" w:hAnsi="Arial"/>
          <w:sz w:val="22"/>
          <w:szCs w:val="22"/>
        </w:rPr>
        <w:t xml:space="preserve">The 74-certificate dataset is small and skewed toward specific certificate types (UNAIR events). Results may not generalize.</w:t>
      </w:r>
    </w:p>
    <w:p>
      <w:pPr>
        <w:pStyle w:val="ListParagraph"/>
        <w:numPr>
          <w:ilvl w:val="0"/>
          <w:numId w:val="2"/>
        </w:numPr>
        <w:spacing w:after="60"/>
      </w:pPr>
      <w:r>
        <w:rPr>
          <w:rFonts w:ascii="Arial" w:cs="Arial" w:eastAsia="Arial" w:hAnsi="Arial"/>
          <w:sz w:val="22"/>
          <w:szCs w:val="22"/>
        </w:rPr>
        <w:t xml:space="preserve">WER/CER are computed on normalized text, which may not reflect the true edit distance of the original strings.</w:t>
      </w:r>
    </w:p>
    <w:p>
      <w:pPr>
        <w:pStyle w:val="ListParagraph"/>
        <w:numPr>
          <w:ilvl w:val="0"/>
          <w:numId w:val="2"/>
        </w:numPr>
        <w:spacing w:after="60"/>
      </w:pPr>
      <w:r>
        <w:rPr>
          <w:rFonts w:ascii="Arial" w:cs="Arial" w:eastAsia="Arial" w:hAnsi="Arial"/>
          <w:sz w:val="22"/>
          <w:szCs w:val="22"/>
        </w:rPr>
        <w:t xml:space="preserve">LLM evaluation uses temperature=0 for determinism, but Ollama's quantized model may produce different results across runs.</w:t>
      </w:r>
    </w:p>
    <w:p>
      <w:pPr>
        <w:spacing w:before="280" w:after="120"/>
      </w:pPr>
      <w:r>
        <w:rPr>
          <w:b/>
          <w:color w:val="2F5496"/>
          <w:sz w:val="32"/>
        </w:rPr>
        <w:t>10. Handoff v7/v8 Evaluation Addendum</w:t>
      </w:r>
    </w:p>
    <w:p>
      <w:pPr>
        <w:spacing w:before="160" w:after="120"/>
      </w:pPr>
      <w:r>
        <w:rPr>
          <w:b/>
          <w:color w:val="2F5496"/>
          <w:sz w:val="26"/>
        </w:rPr>
        <w:t>10.1 Ground Truth Versioning</w:t>
      </w:r>
    </w:p>
    <w:p>
      <w:pPr>
        <w:spacing w:after="120"/>
      </w:pPr>
      <w:r>
        <w:rPr>
          <w:sz w:val="22"/>
        </w:rP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pPr>
        <w:spacing w:after="120"/>
      </w:pPr>
      <w:r>
        <w:rPr>
          <w:sz w:val="22"/>
        </w:rPr>
        <w:t>Metrics are reported three ways: (a) raw-GT accuracy, (b) fixed-GT accuracy, (c) ceiling-adjusted accuracy with the disputed certificates excluded, so label noise is separated from method quality.</w:t>
      </w:r>
    </w:p>
    <w:p>
      <w:pPr>
        <w:spacing w:before="160" w:after="120"/>
      </w:pPr>
      <w:r>
        <w:rPr>
          <w:b/>
          <w:color w:val="2F5496"/>
          <w:sz w:val="26"/>
        </w:rPr>
        <w:t>10.2 Tingkat Scale-Evidence Check</w:t>
      </w:r>
    </w:p>
    <w:p>
      <w:pPr>
        <w:spacing w:after="120"/>
      </w:pPr>
      <w:r>
        <w:rPr>
          <w:sz w:val="22"/>
        </w:rP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spacing w:before="160" w:after="120"/>
      </w:pPr>
      <w:r>
        <w:rPr>
          <w:b/>
          <w:color w:val="2F5496"/>
          <w:sz w:val="26"/>
        </w:rPr>
        <w:t>10.3 Router Precision and Call Reduction</w:t>
      </w:r>
    </w:p>
    <w:tbl>
      <w:tblPr>
        <w:tblW w:type="auto" w:w="0"/>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120"/>
        <w:gridCol w:w="3120"/>
        <w:gridCol w:w="3120"/>
      </w:tblGrid>
      <w:tr>
        <w:tc>
          <w:tcPr>
            <w:tcW w:type="dxa" w:w="3120"/>
          </w:tcPr>
          <w:p>
            <w:pPr>
              <w:spacing w:after="0"/>
            </w:pPr>
            <w:r/>
            <w:r>
              <w:rPr>
                <w:b/>
                <w:sz w:val="18"/>
              </w:rPr>
              <w:t>Metric</w:t>
            </w:r>
          </w:p>
        </w:tc>
        <w:tc>
          <w:tcPr>
            <w:tcW w:type="dxa" w:w="3120"/>
          </w:tcPr>
          <w:p>
            <w:pPr>
              <w:spacing w:after="0"/>
            </w:pPr>
            <w:r/>
            <w:r>
              <w:rPr>
                <w:b/>
                <w:sz w:val="18"/>
              </w:rPr>
              <w:t>v7 (P4)</w:t>
            </w:r>
          </w:p>
        </w:tc>
        <w:tc>
          <w:tcPr>
            <w:tcW w:type="dxa" w:w="3120"/>
          </w:tcPr>
          <w:p>
            <w:pPr>
              <w:spacing w:after="0"/>
            </w:pPr>
            <w:r/>
            <w:r>
              <w:rPr>
                <w:b/>
                <w:sz w:val="18"/>
              </w:rPr>
              <w:t>v8</w:t>
            </w:r>
          </w:p>
        </w:tc>
      </w:tr>
      <w:tr>
        <w:tc>
          <w:tcPr>
            <w:tcW w:type="dxa" w:w="3120"/>
          </w:tcPr>
          <w:p>
            <w:pPr>
              <w:spacing w:after="0"/>
            </w:pPr>
            <w:r/>
            <w:r>
              <w:rPr>
                <w:sz w:val="18"/>
              </w:rPr>
              <w:t>Router decisions</w:t>
            </w:r>
          </w:p>
        </w:tc>
        <w:tc>
          <w:tcPr>
            <w:tcW w:type="dxa" w:w="3120"/>
          </w:tcPr>
          <w:p>
            <w:pPr>
              <w:spacing w:after="0"/>
            </w:pPr>
            <w:r/>
            <w:r>
              <w:rPr>
                <w:sz w:val="18"/>
              </w:rPr>
              <w:t>35/74</w:t>
            </w:r>
          </w:p>
        </w:tc>
        <w:tc>
          <w:tcPr>
            <w:tcW w:type="dxa" w:w="3120"/>
          </w:tcPr>
          <w:p>
            <w:pPr>
              <w:spacing w:after="0"/>
            </w:pPr>
            <w:r/>
            <w:r>
              <w:rPr>
                <w:sz w:val="18"/>
              </w:rPr>
              <w:t>39/74</w:t>
            </w:r>
          </w:p>
        </w:tc>
      </w:tr>
      <w:tr>
        <w:tc>
          <w:tcPr>
            <w:tcW w:type="dxa" w:w="3120"/>
          </w:tcPr>
          <w:p>
            <w:pPr>
              <w:spacing w:after="0"/>
            </w:pPr>
            <w:r/>
            <w:r>
              <w:rPr>
                <w:sz w:val="18"/>
              </w:rPr>
              <w:t>Router precision</w:t>
            </w:r>
          </w:p>
        </w:tc>
        <w:tc>
          <w:tcPr>
            <w:tcW w:type="dxa" w:w="3120"/>
          </w:tcPr>
          <w:p>
            <w:pPr>
              <w:spacing w:after="0"/>
            </w:pPr>
            <w:r/>
            <w:r>
              <w:rPr>
                <w:sz w:val="18"/>
              </w:rPr>
              <w:t>100%</w:t>
            </w:r>
          </w:p>
        </w:tc>
        <w:tc>
          <w:tcPr>
            <w:tcW w:type="dxa" w:w="3120"/>
          </w:tcPr>
          <w:p>
            <w:pPr>
              <w:spacing w:after="0"/>
            </w:pPr>
            <w:r/>
            <w:r>
              <w:rPr>
                <w:sz w:val="18"/>
              </w:rPr>
              <w:t>100%</w:t>
            </w:r>
          </w:p>
        </w:tc>
      </w:tr>
      <w:tr>
        <w:tc>
          <w:tcPr>
            <w:tcW w:type="dxa" w:w="3120"/>
          </w:tcPr>
          <w:p>
            <w:pPr>
              <w:spacing w:after="0"/>
            </w:pPr>
            <w:r/>
            <w:r>
              <w:rPr>
                <w:sz w:val="18"/>
              </w:rPr>
              <w:t>LLM calls / 74</w:t>
            </w:r>
          </w:p>
        </w:tc>
        <w:tc>
          <w:tcPr>
            <w:tcW w:type="dxa" w:w="3120"/>
          </w:tcPr>
          <w:p>
            <w:pPr>
              <w:spacing w:after="0"/>
            </w:pPr>
            <w:r/>
            <w:r>
              <w:rPr>
                <w:sz w:val="18"/>
              </w:rPr>
              <w:t>39</w:t>
            </w:r>
          </w:p>
        </w:tc>
        <w:tc>
          <w:tcPr>
            <w:tcW w:type="dxa" w:w="3120"/>
          </w:tcPr>
          <w:p>
            <w:pPr>
              <w:spacing w:after="0"/>
            </w:pPr>
            <w:r/>
            <w:r>
              <w:rPr>
                <w:sz w:val="18"/>
              </w:rPr>
              <w:t>35</w:t>
            </w:r>
          </w:p>
        </w:tc>
      </w:tr>
      <w:tr>
        <w:tc>
          <w:tcPr>
            <w:tcW w:type="dxa" w:w="3120"/>
          </w:tcPr>
          <w:p>
            <w:pPr>
              <w:spacing w:after="0"/>
            </w:pPr>
            <w:r/>
            <w:r>
              <w:rPr>
                <w:sz w:val="18"/>
              </w:rPr>
              <w:t>Call reduction vs no-router</w:t>
            </w:r>
          </w:p>
        </w:tc>
        <w:tc>
          <w:tcPr>
            <w:tcW w:type="dxa" w:w="3120"/>
          </w:tcPr>
          <w:p>
            <w:pPr>
              <w:spacing w:after="0"/>
            </w:pPr>
            <w:r/>
            <w:r>
              <w:rPr>
                <w:sz w:val="18"/>
              </w:rPr>
              <w:t>47%</w:t>
            </w:r>
          </w:p>
        </w:tc>
        <w:tc>
          <w:tcPr>
            <w:tcW w:type="dxa" w:w="3120"/>
          </w:tcPr>
          <w:p>
            <w:pPr>
              <w:spacing w:after="0"/>
            </w:pPr>
            <w:r/>
            <w:r>
              <w:rPr>
                <w:sz w:val="18"/>
              </w:rPr>
              <w:t>53%</w:t>
            </w:r>
          </w:p>
        </w:tc>
      </w:tr>
    </w:tbl>
    <w:p/>
    <w:p>
      <w:pPr>
        <w:spacing w:after="120"/>
      </w:pPr>
      <w:r>
        <w:rPr>
          <w:sz w:val="22"/>
        </w:rPr>
        <w:t>v8 adds contains-based BEM/HIMA matching for OCR-merged tokens and the explicit TINGKAT NASIONAL rule. Precision stays at 100% on the fixed ground truth.</w:t>
      </w:r>
    </w:p>
    <w:p>
      <w:pPr>
        <w:spacing w:before="160" w:after="120"/>
      </w:pPr>
      <w:r>
        <w:rPr>
          <w:b/>
          <w:color w:val="2F5496"/>
          <w:sz w:val="26"/>
        </w:rPr>
        <w:t>10.4 Token Accounting</w:t>
      </w:r>
    </w:p>
    <w:p>
      <w:pPr>
        <w:spacing w:after="120"/>
      </w:pPr>
      <w:r>
        <w:rPr>
          <w:sz w:val="22"/>
        </w:rP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spacing w:before="160" w:after="120"/>
      </w:pPr>
      <w:r>
        <w:rPr>
          <w:b/>
          <w:color w:val="2F5496"/>
          <w:sz w:val="26"/>
        </w:rPr>
        <w:t>10.5 Layout Representation Evaluation</w:t>
      </w:r>
    </w:p>
    <w:p>
      <w:pPr>
        <w:spacing w:after="120"/>
      </w:pPr>
      <w:r>
        <w:rPr>
          <w:sz w:val="22"/>
        </w:rP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spacing w:before="160" w:after="120"/>
      </w:pPr>
      <w:r>
        <w:rPr>
          <w:b/>
          <w:color w:val="2F5496"/>
          <w:sz w:val="26"/>
        </w:rPr>
        <w:t>10.6 Final v8 Ship Gate</w:t>
      </w:r>
    </w:p>
    <w:tbl>
      <w:tblPr>
        <w:tblW w:type="auto" w:w="0"/>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340"/>
        <w:gridCol w:w="2340"/>
        <w:gridCol w:w="2340"/>
        <w:gridCol w:w="2340"/>
      </w:tblGrid>
      <w:tr>
        <w:tc>
          <w:tcPr>
            <w:tcW w:type="dxa" w:w="2340"/>
          </w:tcPr>
          <w:p>
            <w:pPr>
              <w:spacing w:after="0"/>
            </w:pPr>
            <w:r/>
            <w:r>
              <w:rPr>
                <w:b/>
                <w:sz w:val="18"/>
              </w:rPr>
              <w:t>Metric</w:t>
            </w:r>
          </w:p>
        </w:tc>
        <w:tc>
          <w:tcPr>
            <w:tcW w:type="dxa" w:w="2340"/>
          </w:tcPr>
          <w:p>
            <w:pPr>
              <w:spacing w:after="0"/>
            </w:pPr>
            <w:r/>
            <w:r>
              <w:rPr>
                <w:b/>
                <w:sz w:val="18"/>
              </w:rPr>
              <w:t>Target</w:t>
            </w:r>
          </w:p>
        </w:tc>
        <w:tc>
          <w:tcPr>
            <w:tcW w:type="dxa" w:w="2340"/>
          </w:tcPr>
          <w:p>
            <w:pPr>
              <w:spacing w:after="0"/>
            </w:pPr>
            <w:r/>
            <w:r>
              <w:rPr>
                <w:b/>
                <w:sz w:val="18"/>
              </w:rPr>
              <w:t>Actual</w:t>
            </w:r>
          </w:p>
        </w:tc>
        <w:tc>
          <w:tcPr>
            <w:tcW w:type="dxa" w:w="2340"/>
          </w:tcPr>
          <w:p>
            <w:pPr>
              <w:spacing w:after="0"/>
            </w:pPr>
            <w:r/>
            <w:r>
              <w:rPr>
                <w:b/>
                <w:sz w:val="18"/>
              </w:rPr>
              <w:t>Status</w:t>
            </w:r>
          </w:p>
        </w:tc>
      </w:tr>
      <w:tr>
        <w:tc>
          <w:tcPr>
            <w:tcW w:type="dxa" w:w="2340"/>
          </w:tcPr>
          <w:p>
            <w:pPr>
              <w:spacing w:after="0"/>
            </w:pPr>
            <w:r/>
            <w:r>
              <w:rPr>
                <w:sz w:val="18"/>
              </w:rPr>
              <w:t>Tingkat exact</w:t>
            </w:r>
          </w:p>
        </w:tc>
        <w:tc>
          <w:tcPr>
            <w:tcW w:type="dxa" w:w="2340"/>
          </w:tcPr>
          <w:p>
            <w:pPr>
              <w:spacing w:after="0"/>
            </w:pPr>
            <w:r/>
            <w:r>
              <w:rPr>
                <w:sz w:val="18"/>
              </w:rPr>
              <w:t>&gt;= 45%</w:t>
            </w:r>
          </w:p>
        </w:tc>
        <w:tc>
          <w:tcPr>
            <w:tcW w:type="dxa" w:w="2340"/>
          </w:tcPr>
          <w:p>
            <w:pPr>
              <w:spacing w:after="0"/>
            </w:pPr>
            <w:r/>
            <w:r>
              <w:rPr>
                <w:sz w:val="18"/>
              </w:rPr>
              <w:t>82.4%</w:t>
            </w:r>
          </w:p>
        </w:tc>
        <w:tc>
          <w:tcPr>
            <w:tcW w:type="dxa" w:w="2340"/>
          </w:tcPr>
          <w:p>
            <w:pPr>
              <w:spacing w:after="0"/>
            </w:pPr>
            <w:r/>
            <w:r>
              <w:rPr>
                <w:sz w:val="18"/>
              </w:rPr>
              <w:t>PASS</w:t>
            </w:r>
          </w:p>
        </w:tc>
      </w:tr>
      <w:tr>
        <w:tc>
          <w:tcPr>
            <w:tcW w:type="dxa" w:w="2340"/>
          </w:tcPr>
          <w:p>
            <w:pPr>
              <w:spacing w:after="0"/>
            </w:pPr>
            <w:r/>
            <w:r>
              <w:rPr>
                <w:sz w:val="18"/>
              </w:rPr>
              <w:t>MACRO exact</w:t>
            </w:r>
          </w:p>
        </w:tc>
        <w:tc>
          <w:tcPr>
            <w:tcW w:type="dxa" w:w="2340"/>
          </w:tcPr>
          <w:p>
            <w:pPr>
              <w:spacing w:after="0"/>
            </w:pPr>
            <w:r/>
            <w:r>
              <w:rPr>
                <w:sz w:val="18"/>
              </w:rPr>
              <w:t>&gt;= 50%</w:t>
            </w:r>
          </w:p>
        </w:tc>
        <w:tc>
          <w:tcPr>
            <w:tcW w:type="dxa" w:w="2340"/>
          </w:tcPr>
          <w:p>
            <w:pPr>
              <w:spacing w:after="0"/>
            </w:pPr>
            <w:r/>
            <w:r>
              <w:rPr>
                <w:sz w:val="18"/>
              </w:rPr>
              <w:t>55.2%</w:t>
            </w:r>
          </w:p>
        </w:tc>
        <w:tc>
          <w:tcPr>
            <w:tcW w:type="dxa" w:w="2340"/>
          </w:tcPr>
          <w:p>
            <w:pPr>
              <w:spacing w:after="0"/>
            </w:pPr>
            <w:r/>
            <w:r>
              <w:rPr>
                <w:sz w:val="18"/>
              </w:rPr>
              <w:t>PASS</w:t>
            </w:r>
          </w:p>
        </w:tc>
      </w:tr>
      <w:tr>
        <w:tc>
          <w:tcPr>
            <w:tcW w:type="dxa" w:w="2340"/>
          </w:tcPr>
          <w:p>
            <w:pPr>
              <w:spacing w:after="0"/>
            </w:pPr>
            <w:r/>
            <w:r>
              <w:rPr>
                <w:sz w:val="18"/>
              </w:rPr>
              <w:t>Eff. tokens/doc</w:t>
            </w:r>
          </w:p>
        </w:tc>
        <w:tc>
          <w:tcPr>
            <w:tcW w:type="dxa" w:w="2340"/>
          </w:tcPr>
          <w:p>
            <w:pPr>
              <w:spacing w:after="0"/>
            </w:pPr>
            <w:r/>
            <w:r>
              <w:rPr>
                <w:sz w:val="18"/>
              </w:rPr>
              <w:t>&lt;= 200</w:t>
            </w:r>
          </w:p>
        </w:tc>
        <w:tc>
          <w:tcPr>
            <w:tcW w:type="dxa" w:w="2340"/>
          </w:tcPr>
          <w:p>
            <w:pPr>
              <w:spacing w:after="0"/>
            </w:pPr>
            <w:r/>
            <w:r>
              <w:rPr>
                <w:sz w:val="18"/>
              </w:rPr>
              <w:t>214</w:t>
            </w:r>
          </w:p>
        </w:tc>
        <w:tc>
          <w:tcPr>
            <w:tcW w:type="dxa" w:w="2340"/>
          </w:tcPr>
          <w:p>
            <w:pPr>
              <w:spacing w:after="0"/>
            </w:pPr>
            <w:r/>
            <w:r>
              <w:rPr>
                <w:sz w:val="18"/>
              </w:rPr>
              <w:t>MARGINAL</w:t>
            </w:r>
          </w:p>
        </w:tc>
      </w:tr>
      <w:tr>
        <w:tc>
          <w:tcPr>
            <w:tcW w:type="dxa" w:w="2340"/>
          </w:tcPr>
          <w:p>
            <w:pPr>
              <w:spacing w:after="0"/>
            </w:pPr>
            <w:r/>
            <w:r>
              <w:rPr>
                <w:sz w:val="18"/>
              </w:rPr>
              <w:t>100K-request tokens</w:t>
            </w:r>
          </w:p>
        </w:tc>
        <w:tc>
          <w:tcPr>
            <w:tcW w:type="dxa" w:w="2340"/>
          </w:tcPr>
          <w:p>
            <w:pPr>
              <w:spacing w:after="0"/>
            </w:pPr>
            <w:r/>
            <w:r>
              <w:rPr>
                <w:sz w:val="18"/>
              </w:rPr>
              <w:t>&lt;= 20M</w:t>
            </w:r>
          </w:p>
        </w:tc>
        <w:tc>
          <w:tcPr>
            <w:tcW w:type="dxa" w:w="2340"/>
          </w:tcPr>
          <w:p>
            <w:pPr>
              <w:spacing w:after="0"/>
            </w:pPr>
            <w:r/>
            <w:r>
              <w:rPr>
                <w:sz w:val="18"/>
              </w:rPr>
              <w:t>21.4M</w:t>
            </w:r>
          </w:p>
        </w:tc>
        <w:tc>
          <w:tcPr>
            <w:tcW w:type="dxa" w:w="2340"/>
          </w:tcPr>
          <w:p>
            <w:pPr>
              <w:spacing w:after="0"/>
            </w:pPr>
            <w:r/>
            <w:r>
              <w:rPr>
                <w:sz w:val="18"/>
              </w:rPr>
              <w:t>MARGINAL</w:t>
            </w:r>
          </w:p>
        </w:tc>
      </w:tr>
      <w:tr>
        <w:tc>
          <w:tcPr>
            <w:tcW w:type="dxa" w:w="2340"/>
          </w:tcPr>
          <w:p>
            <w:pPr>
              <w:spacing w:after="0"/>
            </w:pPr>
            <w:r/>
            <w:r>
              <w:rPr>
                <w:sz w:val="18"/>
              </w:rPr>
              <w:t>LLM call reduction</w:t>
            </w:r>
          </w:p>
        </w:tc>
        <w:tc>
          <w:tcPr>
            <w:tcW w:type="dxa" w:w="2340"/>
          </w:tcPr>
          <w:p>
            <w:pPr>
              <w:spacing w:after="0"/>
            </w:pPr>
            <w:r/>
            <w:r>
              <w:rPr>
                <w:sz w:val="18"/>
              </w:rPr>
              <w:t>&gt;= 40%</w:t>
            </w:r>
          </w:p>
        </w:tc>
        <w:tc>
          <w:tcPr>
            <w:tcW w:type="dxa" w:w="2340"/>
          </w:tcPr>
          <w:p>
            <w:pPr>
              <w:spacing w:after="0"/>
            </w:pPr>
            <w:r/>
            <w:r>
              <w:rPr>
                <w:sz w:val="18"/>
              </w:rPr>
              <w:t>53%</w:t>
            </w:r>
          </w:p>
        </w:tc>
        <w:tc>
          <w:tcPr>
            <w:tcW w:type="dxa" w:w="2340"/>
          </w:tcPr>
          <w:p>
            <w:pPr>
              <w:spacing w:after="0"/>
            </w:pPr>
            <w:r/>
            <w:r>
              <w:rPr>
                <w:sz w:val="18"/>
              </w:rPr>
              <w:t>PASS</w:t>
            </w:r>
          </w:p>
        </w:tc>
      </w:tr>
      <w:tr>
        <w:tc>
          <w:tcPr>
            <w:tcW w:type="dxa" w:w="2340"/>
          </w:tcPr>
          <w:p>
            <w:pPr>
              <w:spacing w:after="0"/>
            </w:pPr>
            <w:r/>
            <w:r>
              <w:rPr>
                <w:sz w:val="18"/>
              </w:rPr>
              <w:t>Rule precision</w:t>
            </w:r>
          </w:p>
        </w:tc>
        <w:tc>
          <w:tcPr>
            <w:tcW w:type="dxa" w:w="2340"/>
          </w:tcPr>
          <w:p>
            <w:pPr>
              <w:spacing w:after="0"/>
            </w:pPr>
            <w:r/>
            <w:r>
              <w:rPr>
                <w:sz w:val="18"/>
              </w:rPr>
              <w:t>&gt;= 95%</w:t>
            </w:r>
          </w:p>
        </w:tc>
        <w:tc>
          <w:tcPr>
            <w:tcW w:type="dxa" w:w="2340"/>
          </w:tcPr>
          <w:p>
            <w:pPr>
              <w:spacing w:after="0"/>
            </w:pPr>
            <w:r/>
            <w:r>
              <w:rPr>
                <w:sz w:val="18"/>
              </w:rPr>
              <w:t>100%</w:t>
            </w:r>
          </w:p>
        </w:tc>
        <w:tc>
          <w:tcPr>
            <w:tcW w:type="dxa" w:w="2340"/>
          </w:tcPr>
          <w:p>
            <w:pPr>
              <w:spacing w:after="0"/>
            </w:pPr>
            <w:r/>
            <w:r>
              <w:rPr>
                <w:sz w:val="18"/>
              </w:rPr>
              <w:t>PASS</w:t>
            </w:r>
          </w:p>
        </w:tc>
      </w:tr>
      <w:tr>
        <w:tc>
          <w:tcPr>
            <w:tcW w:type="dxa" w:w="2340"/>
          </w:tcPr>
          <w:p>
            <w:pPr>
              <w:spacing w:after="0"/>
            </w:pPr>
            <w:r/>
            <w:r>
              <w:rPr>
                <w:sz w:val="18"/>
              </w:rPr>
              <w:t>Date / number regression</w:t>
            </w:r>
          </w:p>
        </w:tc>
        <w:tc>
          <w:tcPr>
            <w:tcW w:type="dxa" w:w="2340"/>
          </w:tcPr>
          <w:p>
            <w:pPr>
              <w:spacing w:after="0"/>
            </w:pPr>
            <w:r/>
            <w:r>
              <w:rPr>
                <w:sz w:val="18"/>
              </w:rPr>
              <w:t>none</w:t>
            </w:r>
          </w:p>
        </w:tc>
        <w:tc>
          <w:tcPr>
            <w:tcW w:type="dxa" w:w="2340"/>
          </w:tcPr>
          <w:p>
            <w:pPr>
              <w:spacing w:after="0"/>
            </w:pPr>
            <w:r/>
            <w:r>
              <w:rPr>
                <w:sz w:val="18"/>
              </w:rPr>
              <w:t>none</w:t>
            </w:r>
          </w:p>
        </w:tc>
        <w:tc>
          <w:tcPr>
            <w:tcW w:type="dxa" w:w="2340"/>
          </w:tcPr>
          <w:p>
            <w:pPr>
              <w:spacing w:after="0"/>
            </w:pPr>
            <w:r/>
            <w:r>
              <w:rPr>
                <w:sz w:val="18"/>
              </w:rPr>
              <w:t>PASS</w:t>
            </w:r>
          </w:p>
        </w:tc>
      </w:tr>
    </w:tbl>
    <w:p/>
    <w:p>
      <w:pPr>
        <w:spacing w:after="120"/>
      </w:pPr>
      <w:r>
        <w:rPr>
          <w:sz w:val="22"/>
        </w:rPr>
        <w:t>Caveats: the 74-certificate dataset is small, skewed to UNAIR templates, and not held-out; Ollama quantization adds run-to-run variance of about +/-1-2pp; the macro_avg label is a micro-average (see Section 4.2).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Evaluation Methodology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5090"/>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A6FB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2026-07-31T07:49:03.214Z</dcterms:created>
  <dcterms:modified xsi:type="dcterms:W3CDTF">2026-07-31T07:49:03.215Z</dcterms:modified>
</cp:coreProperties>
</file>

<file path=docProps/custom.xml><?xml version="1.0" encoding="utf-8"?>
<Properties xmlns="http://schemas.openxmlformats.org/officeDocument/2006/custom-properties" xmlns:vt="http://schemas.openxmlformats.org/officeDocument/2006/docPropsVTypes"/>
</file>