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NC-002 region-OCR murah (rapid / tess psm tunggal) utk 2-pass nomor</w:t>
            </w:r>
          </w:p>
        </w:tc>
        <w:tc>
          <w:tcPr>
            <w:tcW w:type="dxa" w:w="1080"/>
          </w:tcPr>
          <w:p>
            <w:r/>
            <w:r>
              <w:rPr>
                <w:sz w:val="18"/>
              </w:rPr>
              <w:t>n/a</w:t>
            </w:r>
          </w:p>
        </w:tc>
        <w:tc>
          <w:tcPr>
            <w:tcW w:type="dxa" w:w="1080"/>
          </w:tcPr>
          <w:p>
            <w:r/>
            <w:r>
              <w:rPr>
                <w:sz w:val="18"/>
              </w:rPr>
              <w:t>47.3%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F1 organizer v3 + R6 (0 LLM)</w:t>
            </w:r>
          </w:p>
        </w:tc>
        <w:tc>
          <w:tcPr>
            <w:tcW w:type="dxa" w:w="1080"/>
            <w:shd w:val="clear" w:color="auto" w:fill="F2F6FC"/>
          </w:tcPr>
          <w:p>
            <w:r/>
            <w:r>
              <w:rPr>
                <w:sz w:val="18"/>
              </w:rPr>
              <w:t>81.1%</w:t>
            </w:r>
          </w:p>
        </w:tc>
        <w:tc>
          <w:tcPr>
            <w:tcW w:type="dxa" w:w="1080"/>
            <w:shd w:val="clear" w:color="auto" w:fill="F2F6FC"/>
          </w:tcPr>
          <w:p>
            <w:r/>
            <w:r>
              <w:rPr>
                <w:sz w:val="18"/>
              </w:rPr>
              <w:t>61.2%</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F1 normalisasi organizer &amp; nomor (0 LLM)</w:t>
            </w:r>
          </w:p>
        </w:tc>
        <w:tc>
          <w:tcPr>
            <w:tcW w:type="dxa" w:w="1080"/>
          </w:tcPr>
          <w:p>
            <w:r/>
            <w:r>
              <w:rPr>
                <w:sz w:val="18"/>
              </w:rPr>
              <w:t>81.1%</w:t>
            </w:r>
          </w:p>
        </w:tc>
        <w:tc>
          <w:tcPr>
            <w:tcW w:type="dxa" w:w="1080"/>
          </w:tcPr>
          <w:p>
            <w:r/>
            <w:r>
              <w:rPr>
                <w:sz w:val="18"/>
              </w:rPr>
              <w:t>58.3%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ORG-004 canonicalisasi format (0 LLM)</w:t>
            </w:r>
          </w:p>
        </w:tc>
        <w:tc>
          <w:tcPr>
            <w:tcW w:type="dxa" w:w="1080"/>
            <w:shd w:val="clear" w:color="auto" w:fill="F2F6FC"/>
          </w:tcPr>
          <w:p>
            <w:r/>
            <w:r>
              <w:rPr>
                <w:sz w:val="18"/>
              </w:rPr>
              <w:t>81.1%</w:t>
            </w:r>
          </w:p>
        </w:tc>
        <w:tc>
          <w:tcPr>
            <w:tcW w:type="dxa" w:w="1080"/>
            <w:shd w:val="clear" w:color="auto" w:fill="F2F6FC"/>
          </w:tcPr>
          <w:p>
            <w:r/>
            <w:r>
              <w:rPr>
                <w:sz w:val="18"/>
              </w:rPr>
              <w:t>63.5%</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PROD-002 port produksi organizer v3+R3+R6+format + nomor (flag-gated)</w:t>
            </w:r>
          </w:p>
        </w:tc>
        <w:tc>
          <w:tcPr>
            <w:tcW w:type="dxa" w:w="1080"/>
          </w:tcPr>
          <w:p>
            <w:r/>
            <w:r>
              <w:rPr>
                <w:sz w:val="18"/>
              </w:rPr>
              <w:t>81.1%</w:t>
            </w:r>
          </w:p>
        </w:tc>
        <w:tc>
          <w:tcPr>
            <w:tcW w:type="dxa" w:w="1080"/>
          </w:tcPr>
          <w:p>
            <w:r/>
            <w:r>
              <w:rPr>
                <w:sz w:val="18"/>
              </w:rPr>
              <w:t>63.0%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r>
        <w:tc>
          <w:tcPr>
            <w:tcW w:type="dxa" w:w="2160"/>
          </w:tcPr>
          <w:p>
            <w:r/>
            <w:r>
              <w:rPr>
                <w:sz w:val="18"/>
              </w:rPr>
              <w:t>ocr</w:t>
            </w:r>
          </w:p>
        </w:tc>
        <w:tc>
          <w:tcPr>
            <w:tcW w:type="dxa" w:w="2160"/>
          </w:tcPr>
          <w:p>
            <w:r/>
            <w:r>
              <w:rPr>
                <w:sz w:val="18"/>
              </w:rPr>
              <w:t>NC-002 region-OCR murah (rapid / tess psm tunggal) utk 2-pass nomor</w:t>
            </w:r>
          </w:p>
        </w:tc>
        <w:tc>
          <w:tcPr>
            <w:tcW w:type="dxa" w:w="2160"/>
          </w:tcPr>
          <w:p>
            <w:r/>
            <w:r>
              <w:rPr>
                <w:sz w:val="18"/>
              </w:rPr>
              <w:t>n/a</w:t>
            </w:r>
          </w:p>
        </w:tc>
        <w:tc>
          <w:tcPr>
            <w:tcW w:type="dxa" w:w="2160"/>
          </w:tcPr>
          <w:p>
            <w:r/>
            <w:r>
              <w:rPr>
                <w:sz w:val="18"/>
              </w:rPr>
              <w:t>47.3%</w:t>
            </w:r>
          </w:p>
        </w:tc>
      </w:tr>
      <w:tr>
        <w:tc>
          <w:tcPr>
            <w:tcW w:type="dxa" w:w="2160"/>
            <w:shd w:val="clear" w:color="auto" w:fill="F2F6FC"/>
          </w:tcPr>
          <w:p>
            <w:r/>
            <w:r>
              <w:rPr>
                <w:sz w:val="18"/>
              </w:rPr>
              <w:t>v10</w:t>
            </w:r>
          </w:p>
        </w:tc>
        <w:tc>
          <w:tcPr>
            <w:tcW w:type="dxa" w:w="2160"/>
            <w:shd w:val="clear" w:color="auto" w:fill="F2F6FC"/>
          </w:tcPr>
          <w:p>
            <w:r/>
            <w:r>
              <w:rPr>
                <w:sz w:val="18"/>
              </w:rPr>
              <w:t>F1 organizer v3 + R6 (0 LLM)</w:t>
            </w:r>
          </w:p>
        </w:tc>
        <w:tc>
          <w:tcPr>
            <w:tcW w:type="dxa" w:w="2160"/>
            <w:shd w:val="clear" w:color="auto" w:fill="F2F6FC"/>
          </w:tcPr>
          <w:p>
            <w:r/>
            <w:r>
              <w:rPr>
                <w:sz w:val="18"/>
              </w:rPr>
              <w:t>81.1%</w:t>
            </w:r>
          </w:p>
        </w:tc>
        <w:tc>
          <w:tcPr>
            <w:tcW w:type="dxa" w:w="2160"/>
            <w:shd w:val="clear" w:color="auto" w:fill="F2F6FC"/>
          </w:tcPr>
          <w:p>
            <w:r/>
            <w:r>
              <w:rPr>
                <w:sz w:val="18"/>
              </w:rPr>
              <w:t>61.2%</w:t>
            </w:r>
          </w:p>
        </w:tc>
      </w:tr>
      <w:tr>
        <w:tc>
          <w:tcPr>
            <w:tcW w:type="dxa" w:w="2160"/>
          </w:tcPr>
          <w:p>
            <w:r/>
            <w:r>
              <w:rPr>
                <w:sz w:val="18"/>
              </w:rPr>
              <w:t>v10</w:t>
            </w:r>
          </w:p>
        </w:tc>
        <w:tc>
          <w:tcPr>
            <w:tcW w:type="dxa" w:w="2160"/>
          </w:tcPr>
          <w:p>
            <w:r/>
            <w:r>
              <w:rPr>
                <w:sz w:val="18"/>
              </w:rPr>
              <w:t>F1 normalisasi organizer &amp; nomor (0 LLM)</w:t>
            </w:r>
          </w:p>
        </w:tc>
        <w:tc>
          <w:tcPr>
            <w:tcW w:type="dxa" w:w="2160"/>
          </w:tcPr>
          <w:p>
            <w:r/>
            <w:r>
              <w:rPr>
                <w:sz w:val="18"/>
              </w:rPr>
              <w:t>81.1%</w:t>
            </w:r>
          </w:p>
        </w:tc>
        <w:tc>
          <w:tcPr>
            <w:tcW w:type="dxa" w:w="2160"/>
          </w:tcPr>
          <w:p>
            <w:r/>
            <w:r>
              <w:rPr>
                <w:sz w:val="18"/>
              </w:rPr>
              <w:t>58.3%</w:t>
            </w:r>
          </w:p>
        </w:tc>
      </w:tr>
      <w:tr>
        <w:tc>
          <w:tcPr>
            <w:tcW w:type="dxa" w:w="2160"/>
            <w:shd w:val="clear" w:color="auto" w:fill="F2F6FC"/>
          </w:tcPr>
          <w:p>
            <w:r/>
            <w:r>
              <w:rPr>
                <w:sz w:val="18"/>
              </w:rPr>
              <w:t>v10</w:t>
            </w:r>
          </w:p>
        </w:tc>
        <w:tc>
          <w:tcPr>
            <w:tcW w:type="dxa" w:w="2160"/>
            <w:shd w:val="clear" w:color="auto" w:fill="F2F6FC"/>
          </w:tcPr>
          <w:p>
            <w:r/>
            <w:r>
              <w:rPr>
                <w:sz w:val="18"/>
              </w:rPr>
              <w:t>ORG-004 canonicalisasi format (0 LLM)</w:t>
            </w:r>
          </w:p>
        </w:tc>
        <w:tc>
          <w:tcPr>
            <w:tcW w:type="dxa" w:w="2160"/>
            <w:shd w:val="clear" w:color="auto" w:fill="F2F6FC"/>
          </w:tcPr>
          <w:p>
            <w:r/>
            <w:r>
              <w:rPr>
                <w:sz w:val="18"/>
              </w:rPr>
              <w:t>81.1%</w:t>
            </w:r>
          </w:p>
        </w:tc>
        <w:tc>
          <w:tcPr>
            <w:tcW w:type="dxa" w:w="2160"/>
            <w:shd w:val="clear" w:color="auto" w:fill="F2F6FC"/>
          </w:tcPr>
          <w:p>
            <w:r/>
            <w:r>
              <w:rPr>
                <w:sz w:val="18"/>
              </w:rPr>
              <w:t>63.5%</w:t>
            </w:r>
          </w:p>
        </w:tc>
      </w:tr>
      <w:tr>
        <w:tc>
          <w:tcPr>
            <w:tcW w:type="dxa" w:w="2160"/>
          </w:tcPr>
          <w:p>
            <w:r/>
            <w:r>
              <w:rPr>
                <w:sz w:val="18"/>
              </w:rPr>
              <w:t>v10</w:t>
            </w:r>
          </w:p>
        </w:tc>
        <w:tc>
          <w:tcPr>
            <w:tcW w:type="dxa" w:w="2160"/>
          </w:tcPr>
          <w:p>
            <w:r/>
            <w:r>
              <w:rPr>
                <w:sz w:val="18"/>
              </w:rPr>
              <w:t>PROD-002 port produksi organizer v3+R3+R6+format + nomor (flag-gated)</w:t>
            </w:r>
          </w:p>
        </w:tc>
        <w:tc>
          <w:tcPr>
            <w:tcW w:type="dxa" w:w="2160"/>
          </w:tcPr>
          <w:p>
            <w:r/>
            <w:r>
              <w:rPr>
                <w:sz w:val="18"/>
              </w:rPr>
              <w:t>81.1%</w:t>
            </w:r>
          </w:p>
        </w:tc>
        <w:tc>
          <w:tcPr>
            <w:tcW w:type="dxa" w:w="2160"/>
          </w:tcPr>
          <w:p>
            <w:r/>
            <w:r>
              <w:rPr>
                <w:sz w:val="18"/>
              </w:rPr>
              <w:t>63.0%</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