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pPr>
      <w:r>
        <w:t xml:space="preserve"/>
      </w:r>
    </w:p>
    <w:p>
      <w:pPr>
        <w:spacing w:after="60"/>
        <w:jc w:val="center"/>
      </w:pPr>
      <w:r>
        <w:rPr>
          <w:rFonts w:ascii="Arial" w:cs="Arial" w:eastAsia="Arial" w:hAnsi="Arial"/>
          <w:b/>
          <w:bCs/>
          <w:sz w:val="26"/>
          <w:szCs w:val="26"/>
        </w:rPr>
        <w:t xml:space="preserve">UNIVERSITÉ D'ABOMEY-CALAVI</w:t>
      </w:r>
    </w:p>
    <w:p>
      <w:pPr>
        <w:spacing w:after="60"/>
        <w:jc w:val="center"/>
      </w:pPr>
      <w:r>
        <w:rPr>
          <w:rFonts w:ascii="Arial" w:cs="Arial" w:eastAsia="Arial" w:hAnsi="Arial"/>
          <w:sz w:val="22"/>
          <w:szCs w:val="22"/>
        </w:rPr>
        <w:t xml:space="preserve">Institut de Formation et de Recherche en Informatique (IFRI)</w:t>
      </w:r>
    </w:p>
    <w:p>
      <w:pPr>
        <w:spacing w:after="60"/>
        <w:jc w:val="center"/>
      </w:pPr>
      <w:r>
        <w:rPr>
          <w:rFonts w:ascii="Arial" w:cs="Arial" w:eastAsia="Arial" w:hAnsi="Arial"/>
          <w:sz w:val="22"/>
          <w:szCs w:val="22"/>
        </w:rPr>
        <w:t xml:space="preserve">Cours : Génie Logiciel &amp; Informatique  •  Mai 2026</w:t>
      </w:r>
    </w:p>
    <w:p>
      <w:pPr>
        <w:spacing w:after="200"/>
      </w:pPr>
      <w:r>
        <w:t xml:space="preserve"/>
      </w:r>
    </w:p>
    <w:p>
      <w:pPr>
        <w:pBdr>
          <w:bottom w:val="single" w:color="1F3864" w:sz="8" w:space="1"/>
        </w:pBdr>
        <w:spacing w:after="100" w:before="100"/>
      </w:pPr>
      <w:r>
        <w:t xml:space="preserve"/>
      </w:r>
    </w:p>
    <w:p>
      <w:pPr>
        <w:spacing w:after="200"/>
      </w:pPr>
      <w:r>
        <w:t xml:space="preserve"/>
      </w:r>
    </w:p>
    <w:p>
      <w:pPr>
        <w:spacing w:after="80"/>
        <w:jc w:val="center"/>
      </w:pPr>
      <w:r>
        <w:rPr>
          <w:rFonts w:ascii="Arial" w:cs="Arial" w:eastAsia="Arial" w:hAnsi="Arial"/>
          <w:b/>
          <w:bCs/>
          <w:color w:val="1F3864"/>
          <w:sz w:val="52"/>
          <w:szCs w:val="52"/>
        </w:rPr>
        <w:t xml:space="preserve">RAPPORT FINAL</w:t>
      </w:r>
    </w:p>
    <w:p>
      <w:pPr>
        <w:spacing w:after="80"/>
        <w:jc w:val="center"/>
      </w:pPr>
      <w:r>
        <w:rPr>
          <w:rFonts w:ascii="Arial" w:cs="Arial" w:eastAsia="Arial" w:hAnsi="Arial"/>
          <w:b/>
          <w:bCs/>
          <w:sz w:val="32"/>
          <w:szCs w:val="32"/>
        </w:rPr>
        <w:t xml:space="preserve">Système de Gestion de Stock et de Maintenance</w:t>
      </w:r>
    </w:p>
    <w:p>
      <w:pPr>
        <w:spacing w:after="80"/>
        <w:jc w:val="center"/>
      </w:pPr>
      <w:r>
        <w:rPr>
          <w:rFonts w:ascii="Arial" w:cs="Arial" w:eastAsia="Arial" w:hAnsi="Arial"/>
          <w:b/>
          <w:bCs/>
          <w:color w:val="2E75B6"/>
          <w:sz w:val="28"/>
          <w:szCs w:val="28"/>
        </w:rPr>
        <w:t xml:space="preserve">Projet ASINCO — Groupe 1</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057" w:sz="1"/>
              <w:left w:val="single" w:color="2E4057" w:sz="1"/>
              <w:bottom w:val="single" w:color="2E4057" w:sz="1"/>
              <w:right w:val="single" w:color="2E4057" w:sz="1"/>
            </w:tcBorders>
            <w:shd w:fill="1F3864"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Champ</w:t>
            </w:r>
          </w:p>
        </w:tc>
        <w:tc>
          <w:tcPr>
            <w:tcW w:type="dxa" w:w="6960"/>
            <w:tcBorders>
              <w:top w:val="single" w:color="2E4057" w:sz="1"/>
              <w:left w:val="single" w:color="2E4057" w:sz="1"/>
              <w:bottom w:val="single" w:color="2E4057" w:sz="1"/>
              <w:right w:val="single" w:color="2E4057" w:sz="1"/>
            </w:tcBorders>
            <w:shd w:fill="1F3864"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Valeur</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Projet</w:t>
            </w:r>
          </w:p>
        </w:tc>
        <w:tc>
          <w:tcPr>
            <w:tcW w:type="dxa" w:w="6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ASINCO — Gestion de Stock et Maintenance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Groupe</w:t>
            </w:r>
          </w:p>
        </w:tc>
        <w:tc>
          <w:tcPr>
            <w:tcW w:type="dxa" w:w="6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Groupe 1</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Technologies</w:t>
            </w:r>
          </w:p>
        </w:tc>
        <w:tc>
          <w:tcPr>
            <w:tcW w:type="dxa" w:w="6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Oracle SQL/PL/SQL, PHP 8 OCI8, Bootstrap 5</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Version</w:t>
            </w:r>
          </w:p>
        </w:tc>
        <w:tc>
          <w:tcPr>
            <w:tcW w:type="dxa" w:w="6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1.0 — Version finale avec démonstration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Date</w:t>
            </w:r>
          </w:p>
        </w:tc>
        <w:tc>
          <w:tcPr>
            <w:tcW w:type="dxa" w:w="6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Mai 2026</w:t>
            </w:r>
          </w:p>
        </w:tc>
      </w:tr>
    </w:tbl>
    <w:p>
      <w:pPr>
        <w:spacing w:after="200"/>
      </w:pPr>
      <w:r>
        <w:t xml:space="preserve"/>
      </w:r>
    </w:p>
    <w:p>
      <w:pPr>
        <w:pBdr>
          <w:bottom w:val="single" w:color="1F3864" w:sz="8" w:space="1"/>
        </w:pBdr>
        <w:spacing w:after="100" w:before="100"/>
      </w:pPr>
      <w:r>
        <w:t xml:space="preserve"/>
      </w:r>
    </w:p>
    <w:p>
      <w:pPr>
        <w:spacing w:after="200"/>
      </w:pPr>
      <w:r>
        <w:t xml:space="preserve"/>
      </w:r>
    </w:p>
    <w:p>
      <w:r>
        <w:br w:type="page"/>
      </w:r>
    </w:p>
    <w:p>
      <w:pPr>
        <w:pStyle w:val="Heading1"/>
        <w:spacing w:after="180" w:before="360"/>
      </w:pPr>
      <w:r>
        <w:rPr>
          <w:rFonts w:ascii="Arial" w:cs="Arial" w:eastAsia="Arial" w:hAnsi="Arial"/>
          <w:b/>
          <w:bCs/>
          <w:color w:val="1F3864"/>
          <w:sz w:val="30"/>
          <w:szCs w:val="30"/>
        </w:rPr>
        <w:t xml:space="preserve">1. Introduction</w:t>
      </w:r>
    </w:p>
    <w:p>
      <w:pPr>
        <w:pStyle w:val="Heading2"/>
        <w:spacing w:after="120" w:before="240"/>
      </w:pPr>
      <w:r>
        <w:rPr>
          <w:rFonts w:ascii="Arial" w:cs="Arial" w:eastAsia="Arial" w:hAnsi="Arial"/>
          <w:b/>
          <w:bCs/>
          <w:color w:val="2E75B6"/>
          <w:sz w:val="26"/>
          <w:szCs w:val="26"/>
        </w:rPr>
        <w:t xml:space="preserve">1.1 Contexte</w:t>
      </w:r>
    </w:p>
    <w:p>
      <w:pPr>
        <w:spacing w:after="120"/>
        <w:jc w:val="both"/>
      </w:pPr>
      <w:r>
        <w:rPr>
          <w:rFonts w:ascii="Arial" w:cs="Arial" w:eastAsia="Arial" w:hAnsi="Arial"/>
          <w:b w:val="false"/>
          <w:bCs w:val="false"/>
          <w:sz w:val="22"/>
          <w:szCs w:val="22"/>
        </w:rPr>
        <w:t xml:space="preserve">La société ASINCO, spécialisée dans la location de matériel informatique de haute technologie, faisait face à une gestion de son parc par fichiers Excel, engendrant des erreurs de saisie et des pertes de données. La direction informatique a mandaté le Groupe 1 pour concevoir et réaliser une application web robuste centralisant la gestion du parc matériel et le suivi des interventions de maintenance.</w:t>
      </w:r>
    </w:p>
    <w:p>
      <w:pPr>
        <w:spacing w:after="200"/>
      </w:pPr>
      <w:r>
        <w:t xml:space="preserve"/>
      </w:r>
    </w:p>
    <w:p>
      <w:pPr>
        <w:pStyle w:val="Heading2"/>
        <w:spacing w:after="120" w:before="240"/>
      </w:pPr>
      <w:r>
        <w:rPr>
          <w:rFonts w:ascii="Arial" w:cs="Arial" w:eastAsia="Arial" w:hAnsi="Arial"/>
          <w:b/>
          <w:bCs/>
          <w:color w:val="2E75B6"/>
          <w:sz w:val="26"/>
          <w:szCs w:val="26"/>
        </w:rPr>
        <w:t xml:space="preserve">1.2 Objectifs</w:t>
      </w:r>
    </w:p>
    <w:p>
      <w:pPr>
        <w:pStyle w:val="ListParagraph"/>
        <w:numPr>
          <w:ilvl w:val="0"/>
          <w:numId w:val="2"/>
        </w:numPr>
        <w:spacing w:after="80"/>
      </w:pPr>
      <w:r>
        <w:rPr>
          <w:rFonts w:ascii="Arial" w:cs="Arial" w:eastAsia="Arial" w:hAnsi="Arial"/>
          <w:sz w:val="22"/>
          <w:szCs w:val="22"/>
        </w:rPr>
        <w:t xml:space="preserve">Centraliser la gestion du parc matériel (ajout, modification, consultation, suppression).</w:t>
      </w:r>
    </w:p>
    <w:p>
      <w:pPr>
        <w:pStyle w:val="ListParagraph"/>
        <w:numPr>
          <w:ilvl w:val="0"/>
          <w:numId w:val="2"/>
        </w:numPr>
        <w:spacing w:after="80"/>
      </w:pPr>
      <w:r>
        <w:rPr>
          <w:rFonts w:ascii="Arial" w:cs="Arial" w:eastAsia="Arial" w:hAnsi="Arial"/>
          <w:sz w:val="22"/>
          <w:szCs w:val="22"/>
        </w:rPr>
        <w:t xml:space="preserve">Assurer le suivi des interventions de maintenance et la mise à jour automatique des états.</w:t>
      </w:r>
    </w:p>
    <w:p>
      <w:pPr>
        <w:pStyle w:val="ListParagraph"/>
        <w:numPr>
          <w:ilvl w:val="0"/>
          <w:numId w:val="2"/>
        </w:numPr>
        <w:spacing w:after="80"/>
      </w:pPr>
      <w:r>
        <w:rPr>
          <w:rFonts w:ascii="Arial" w:cs="Arial" w:eastAsia="Arial" w:hAnsi="Arial"/>
          <w:sz w:val="22"/>
          <w:szCs w:val="22"/>
        </w:rPr>
        <w:t xml:space="preserve">Offrir une interface web ergonomique, responsive, accessible sur PC et tablette.</w:t>
      </w:r>
    </w:p>
    <w:p>
      <w:pPr>
        <w:pStyle w:val="ListParagraph"/>
        <w:numPr>
          <w:ilvl w:val="0"/>
          <w:numId w:val="2"/>
        </w:numPr>
        <w:spacing w:after="80"/>
      </w:pPr>
      <w:r>
        <w:rPr>
          <w:rFonts w:ascii="Arial" w:cs="Arial" w:eastAsia="Arial" w:hAnsi="Arial"/>
          <w:sz w:val="22"/>
          <w:szCs w:val="22"/>
        </w:rPr>
        <w:t xml:space="preserve">Garantir l'intégrité des données par les mécanismes Oracle (PK, FK, CHECK, transactions).</w:t>
      </w:r>
    </w:p>
    <w:p>
      <w:pPr>
        <w:pStyle w:val="ListParagraph"/>
        <w:numPr>
          <w:ilvl w:val="0"/>
          <w:numId w:val="2"/>
        </w:numPr>
        <w:spacing w:after="80"/>
      </w:pPr>
      <w:r>
        <w:rPr>
          <w:rFonts w:ascii="Arial" w:cs="Arial" w:eastAsia="Arial" w:hAnsi="Arial"/>
          <w:sz w:val="22"/>
          <w:szCs w:val="22"/>
        </w:rPr>
        <w:t xml:space="preserve">Mettre en œuvre une base Oracle avec procédures et fonctions PL/SQL selon le cahier des charges.</w:t>
      </w:r>
    </w:p>
    <w:p>
      <w:pPr>
        <w:spacing w:after="200"/>
      </w:pPr>
      <w:r>
        <w:t xml:space="preserve"/>
      </w:r>
    </w:p>
    <w:p>
      <w:pPr>
        <w:pStyle w:val="Heading1"/>
        <w:spacing w:after="180" w:before="360"/>
      </w:pPr>
      <w:r>
        <w:rPr>
          <w:rFonts w:ascii="Arial" w:cs="Arial" w:eastAsia="Arial" w:hAnsi="Arial"/>
          <w:b/>
          <w:bCs/>
          <w:color w:val="1F3864"/>
          <w:sz w:val="30"/>
          <w:szCs w:val="30"/>
        </w:rPr>
        <w:t xml:space="preserve">2. Stack Technique et Architecture</w:t>
      </w:r>
    </w:p>
    <w:p>
      <w:pPr>
        <w:pStyle w:val="Heading2"/>
        <w:spacing w:after="120" w:before="240"/>
      </w:pPr>
      <w:r>
        <w:rPr>
          <w:rFonts w:ascii="Arial" w:cs="Arial" w:eastAsia="Arial" w:hAnsi="Arial"/>
          <w:b/>
          <w:bCs/>
          <w:color w:val="2E75B6"/>
          <w:sz w:val="26"/>
          <w:szCs w:val="26"/>
        </w:rPr>
        <w:t xml:space="preserve">2.1 Technologies utilisées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2E4057" w:sz="1"/>
              <w:left w:val="single" w:color="2E4057" w:sz="1"/>
              <w:bottom w:val="single" w:color="2E4057" w:sz="1"/>
              <w:right w:val="single" w:color="2E4057" w:sz="1"/>
            </w:tcBorders>
            <w:shd w:fill="1F3864"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Couche</w:t>
            </w:r>
          </w:p>
        </w:tc>
        <w:tc>
          <w:tcPr>
            <w:tcW w:type="dxa" w:w="2400"/>
            <w:tcBorders>
              <w:top w:val="single" w:color="2E4057" w:sz="1"/>
              <w:left w:val="single" w:color="2E4057" w:sz="1"/>
              <w:bottom w:val="single" w:color="2E4057" w:sz="1"/>
              <w:right w:val="single" w:color="2E4057" w:sz="1"/>
            </w:tcBorders>
            <w:shd w:fill="1F3864"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Technologie</w:t>
            </w:r>
          </w:p>
        </w:tc>
        <w:tc>
          <w:tcPr>
            <w:tcW w:type="dxa" w:w="4760"/>
            <w:tcBorders>
              <w:top w:val="single" w:color="2E4057" w:sz="1"/>
              <w:left w:val="single" w:color="2E4057" w:sz="1"/>
              <w:bottom w:val="single" w:color="2E4057" w:sz="1"/>
              <w:right w:val="single" w:color="2E4057" w:sz="1"/>
            </w:tcBorders>
            <w:shd w:fill="1F3864"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Rôle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Base de données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Oracle SQL &amp; PL/SQL</w:t>
            </w:r>
          </w:p>
        </w:tc>
        <w:tc>
          <w:tcPr>
            <w:tcW w:type="dxa" w:w="4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Stockage, contraintes, procédures et fonctions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Backend</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PHP 8.x avec OCI8</w:t>
            </w:r>
          </w:p>
        </w:tc>
        <w:tc>
          <w:tcPr>
            <w:tcW w:type="dxa" w:w="4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Logique applicative, connexion Oracle via helpers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Frontend</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HTML5, CSS3, Bootstrap 5</w:t>
            </w:r>
          </w:p>
        </w:tc>
        <w:tc>
          <w:tcPr>
            <w:tcW w:type="dxa" w:w="4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Interface responsive avec thème sombre custom</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JS/UI</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Lucide Icons, JS vanilla</w:t>
            </w:r>
          </w:p>
        </w:tc>
        <w:tc>
          <w:tcPr>
            <w:tcW w:type="dxa" w:w="4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Icônes SVG, toasts, sidebar, thème toggle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Versioning</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Git / GitHub</w:t>
            </w:r>
          </w:p>
        </w:tc>
        <w:tc>
          <w:tcPr>
            <w:tcW w:type="dxa" w:w="4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Gestion collaborative du code source</w:t>
            </w:r>
          </w:p>
        </w:tc>
      </w:tr>
    </w:tbl>
    <w:p>
      <w:pPr>
        <w:spacing w:after="200"/>
      </w:pPr>
      <w:r>
        <w:t xml:space="preserve"/>
      </w:r>
    </w:p>
    <w:p>
      <w:pPr>
        <w:pStyle w:val="Heading2"/>
        <w:spacing w:after="120" w:before="240"/>
      </w:pPr>
      <w:r>
        <w:rPr>
          <w:rFonts w:ascii="Arial" w:cs="Arial" w:eastAsia="Arial" w:hAnsi="Arial"/>
          <w:b/>
          <w:bCs/>
          <w:color w:val="2E75B6"/>
          <w:sz w:val="26"/>
          <w:szCs w:val="26"/>
        </w:rPr>
        <w:t xml:space="preserve">2.2 Architecture du projet</w:t>
      </w:r>
    </w:p>
    <w:p>
      <w:pPr>
        <w:spacing w:after="120"/>
        <w:jc w:val="both"/>
      </w:pPr>
      <w:r>
        <w:rPr>
          <w:rFonts w:ascii="Arial" w:cs="Arial" w:eastAsia="Arial" w:hAnsi="Arial"/>
          <w:b w:val="false"/>
          <w:bCs w:val="false"/>
          <w:sz w:val="22"/>
          <w:szCs w:val="22"/>
        </w:rPr>
        <w:t xml:space="preserve">L'application suit une architecture MVC légère avec séparation claire des responsabilités :</w:t>
      </w:r>
    </w:p>
    <w:p>
      <w:pPr>
        <w:pStyle w:val="ListParagraph"/>
        <w:numPr>
          <w:ilvl w:val="0"/>
          <w:numId w:val="2"/>
        </w:numPr>
        <w:spacing w:after="80"/>
      </w:pPr>
      <w:r>
        <w:rPr>
          <w:rFonts w:ascii="Arial" w:cs="Arial" w:eastAsia="Arial" w:hAnsi="Arial"/>
          <w:sz w:val="22"/>
          <w:szCs w:val="22"/>
        </w:rPr>
        <w:t xml:space="preserve">php/config/connexion.php : singleton de connexion Oracle + helpers génériques (asinco_query, asinco_execute, asinco_call_procedure, asinco_fnc_nb_interventions).</w:t>
      </w:r>
    </w:p>
    <w:p>
      <w:pPr>
        <w:pStyle w:val="ListParagraph"/>
        <w:numPr>
          <w:ilvl w:val="0"/>
          <w:numId w:val="2"/>
        </w:numPr>
        <w:spacing w:after="80"/>
      </w:pPr>
      <w:r>
        <w:rPr>
          <w:rFonts w:ascii="Arial" w:cs="Arial" w:eastAsia="Arial" w:hAnsi="Arial"/>
          <w:sz w:val="22"/>
          <w:szCs w:val="22"/>
        </w:rPr>
        <w:t xml:space="preserve">php/data/db.php : couche données — charge toutes les entités depuis Oracle au chargement de page et expose des helpers métier (asinco_kpis, asinco_materiels_par_categorie...).</w:t>
      </w:r>
    </w:p>
    <w:p>
      <w:pPr>
        <w:pStyle w:val="ListParagraph"/>
        <w:numPr>
          <w:ilvl w:val="0"/>
          <w:numId w:val="2"/>
        </w:numPr>
        <w:spacing w:after="80"/>
      </w:pPr>
      <w:r>
        <w:rPr>
          <w:rFonts w:ascii="Arial" w:cs="Arial" w:eastAsia="Arial" w:hAnsi="Arial"/>
          <w:sz w:val="22"/>
          <w:szCs w:val="22"/>
        </w:rPr>
        <w:t xml:space="preserve">php/partials/ : composants réutilisables (head, sidebar, topbar, footer, toast-host, modal de confirmation).</w:t>
      </w:r>
    </w:p>
    <w:p>
      <w:pPr>
        <w:pStyle w:val="ListParagraph"/>
        <w:numPr>
          <w:ilvl w:val="0"/>
          <w:numId w:val="2"/>
        </w:numPr>
        <w:spacing w:after="80"/>
      </w:pPr>
      <w:r>
        <w:rPr>
          <w:rFonts w:ascii="Arial" w:cs="Arial" w:eastAsia="Arial" w:hAnsi="Arial"/>
          <w:sz w:val="22"/>
          <w:szCs w:val="22"/>
        </w:rPr>
        <w:t xml:space="preserve">Modules fonctionnels : php/materiel/, php/maintenance/, php/technicien/, php/categorie/ — chacun avec ses sous-dossiers de vues et d'actions.</w:t>
      </w:r>
    </w:p>
    <w:p>
      <w:pPr>
        <w:spacing w:after="200"/>
      </w:pPr>
      <w:r>
        <w:t xml:space="preserve"/>
      </w:r>
    </w:p>
    <w:p>
      <w:pPr>
        <w:pStyle w:val="Heading1"/>
        <w:spacing w:after="180" w:before="360"/>
      </w:pPr>
      <w:r>
        <w:rPr>
          <w:rFonts w:ascii="Arial" w:cs="Arial" w:eastAsia="Arial" w:hAnsi="Arial"/>
          <w:b/>
          <w:bCs/>
          <w:color w:val="1F3864"/>
          <w:sz w:val="30"/>
          <w:szCs w:val="30"/>
        </w:rPr>
        <w:t xml:space="preserve">3. Base de Données Oracle</w:t>
      </w:r>
    </w:p>
    <w:p>
      <w:pPr>
        <w:pStyle w:val="Heading2"/>
        <w:spacing w:after="120" w:before="240"/>
      </w:pPr>
      <w:r>
        <w:rPr>
          <w:rFonts w:ascii="Arial" w:cs="Arial" w:eastAsia="Arial" w:hAnsi="Arial"/>
          <w:b/>
          <w:bCs/>
          <w:color w:val="2E75B6"/>
          <w:sz w:val="26"/>
          <w:szCs w:val="26"/>
        </w:rPr>
        <w:t xml:space="preserve">3.1 Schéma relationnel</w:t>
      </w:r>
    </w:p>
    <w:p>
      <w:pPr>
        <w:spacing w:after="120"/>
        <w:jc w:val="both"/>
      </w:pPr>
      <w:r>
        <w:rPr>
          <w:rFonts w:ascii="Arial" w:cs="Arial" w:eastAsia="Arial" w:hAnsi="Arial"/>
          <w:b w:val="false"/>
          <w:bCs w:val="false"/>
          <w:sz w:val="22"/>
          <w:szCs w:val="22"/>
        </w:rPr>
        <w:t xml:space="preserve">Quatre tables reliées par des clés étrangères, avec séquences Oracle pour les identifiants :</w:t>
      </w:r>
    </w:p>
    <w:p>
      <w:pPr>
        <w:pStyle w:val="ListParagraph"/>
        <w:numPr>
          <w:ilvl w:val="0"/>
          <w:numId w:val="2"/>
        </w:numPr>
        <w:spacing w:after="80"/>
      </w:pPr>
      <w:r>
        <w:rPr>
          <w:rFonts w:ascii="Arial" w:cs="Arial" w:eastAsia="Arial" w:hAnsi="Arial"/>
          <w:sz w:val="22"/>
          <w:szCs w:val="22"/>
        </w:rPr>
        <w:t xml:space="preserve">CATEGORIE : 3 catégories (Réseau, Stockage, Calcul) — clé primaire ID_CATEGORIE.</w:t>
      </w:r>
    </w:p>
    <w:p>
      <w:pPr>
        <w:pStyle w:val="ListParagraph"/>
        <w:numPr>
          <w:ilvl w:val="0"/>
          <w:numId w:val="2"/>
        </w:numPr>
        <w:spacing w:after="80"/>
      </w:pPr>
      <w:r>
        <w:rPr>
          <w:rFonts w:ascii="Arial" w:cs="Arial" w:eastAsia="Arial" w:hAnsi="Arial"/>
          <w:sz w:val="22"/>
          <w:szCs w:val="22"/>
        </w:rPr>
        <w:t xml:space="preserve">TECHNICIEN : 15 techniciens aux spécialités variées — clé primaire ID_TECHNICIEN.</w:t>
      </w:r>
    </w:p>
    <w:p>
      <w:pPr>
        <w:pStyle w:val="ListParagraph"/>
        <w:numPr>
          <w:ilvl w:val="0"/>
          <w:numId w:val="2"/>
        </w:numPr>
        <w:spacing w:after="80"/>
      </w:pPr>
      <w:r>
        <w:rPr>
          <w:rFonts w:ascii="Arial" w:cs="Arial" w:eastAsia="Arial" w:hAnsi="Arial"/>
          <w:sz w:val="22"/>
          <w:szCs w:val="22"/>
        </w:rPr>
        <w:t xml:space="preserve">MATERIEL : 12 équipements avec référence unique, état contrôlé par CHECK, FK vers CATEGORIE.</w:t>
      </w:r>
    </w:p>
    <w:p>
      <w:pPr>
        <w:pStyle w:val="ListParagraph"/>
        <w:numPr>
          <w:ilvl w:val="0"/>
          <w:numId w:val="2"/>
        </w:numPr>
        <w:spacing w:after="80"/>
      </w:pPr>
      <w:r>
        <w:rPr>
          <w:rFonts w:ascii="Arial" w:cs="Arial" w:eastAsia="Arial" w:hAnsi="Arial"/>
          <w:sz w:val="22"/>
          <w:szCs w:val="22"/>
        </w:rPr>
        <w:t xml:space="preserve">INTERVENTION : table de liaison MATERIEL ↔ TECHNICIEN avec date, description et durée.</w:t>
      </w:r>
    </w:p>
    <w:p>
      <w:pPr>
        <w:spacing w:after="200"/>
      </w:pPr>
      <w:r>
        <w:t xml:space="preserve"/>
      </w:r>
    </w:p>
    <w:p>
      <w:pPr>
        <w:pStyle w:val="Heading2"/>
        <w:spacing w:after="120" w:before="240"/>
      </w:pPr>
      <w:r>
        <w:rPr>
          <w:rFonts w:ascii="Arial" w:cs="Arial" w:eastAsia="Arial" w:hAnsi="Arial"/>
          <w:b/>
          <w:bCs/>
          <w:color w:val="2E75B6"/>
          <w:sz w:val="26"/>
          <w:szCs w:val="26"/>
        </w:rPr>
        <w:t xml:space="preserve">3.2 Contraintes d'intégrité</w:t>
      </w:r>
    </w:p>
    <w:p>
      <w:pPr>
        <w:pStyle w:val="ListParagraph"/>
        <w:numPr>
          <w:ilvl w:val="0"/>
          <w:numId w:val="2"/>
        </w:numPr>
        <w:spacing w:after="80"/>
      </w:pPr>
      <w:r>
        <w:rPr>
          <w:rFonts w:ascii="Arial" w:cs="Arial" w:eastAsia="Arial" w:hAnsi="Arial"/>
          <w:sz w:val="22"/>
          <w:szCs w:val="22"/>
        </w:rPr>
        <w:t xml:space="preserve">Clés primaires auto-incrémentées via 4 séquences (SEQ_CATEGORIE, SEQ_TECHNICIEN, SEQ_MATERIEL, SEQ_INTERVENTION).</w:t>
      </w:r>
    </w:p>
    <w:p>
      <w:pPr>
        <w:pStyle w:val="ListParagraph"/>
        <w:numPr>
          <w:ilvl w:val="0"/>
          <w:numId w:val="2"/>
        </w:numPr>
        <w:spacing w:after="80"/>
      </w:pPr>
      <w:r>
        <w:rPr>
          <w:rFonts w:ascii="Arial" w:cs="Arial" w:eastAsia="Arial" w:hAnsi="Arial"/>
          <w:sz w:val="22"/>
          <w:szCs w:val="22"/>
        </w:rPr>
        <w:t xml:space="preserve">Clés étrangères avec CASCADE CONSTRAINTS pour la suppression propre.</w:t>
      </w:r>
    </w:p>
    <w:p>
      <w:pPr>
        <w:pStyle w:val="ListParagraph"/>
        <w:numPr>
          <w:ilvl w:val="0"/>
          <w:numId w:val="2"/>
        </w:numPr>
        <w:spacing w:after="80"/>
      </w:pPr>
      <w:r>
        <w:rPr>
          <w:rFonts w:ascii="Arial" w:cs="Arial" w:eastAsia="Arial" w:hAnsi="Arial"/>
          <w:sz w:val="22"/>
          <w:szCs w:val="22"/>
        </w:rPr>
        <w:t xml:space="preserve">Contrainte CHECK sur MATERIEL.ETAT : seules les valeurs 'En service', 'En reparation', 'Declasse' sont acceptées.</w:t>
      </w:r>
    </w:p>
    <w:p>
      <w:pPr>
        <w:pStyle w:val="ListParagraph"/>
        <w:numPr>
          <w:ilvl w:val="0"/>
          <w:numId w:val="2"/>
        </w:numPr>
        <w:spacing w:after="80"/>
      </w:pPr>
      <w:r>
        <w:rPr>
          <w:rFonts w:ascii="Arial" w:cs="Arial" w:eastAsia="Arial" w:hAnsi="Arial"/>
          <w:sz w:val="22"/>
          <w:szCs w:val="22"/>
        </w:rPr>
        <w:t xml:space="preserve">UNIQUE sur CATEGORIE.LIBELLE et MATERIEL.REFERENCE pour éviter les doublons.</w:t>
      </w:r>
    </w:p>
    <w:p>
      <w:pPr>
        <w:spacing w:after="200"/>
      </w:pPr>
      <w:r>
        <w:t xml:space="preserve"/>
      </w:r>
    </w:p>
    <w:p>
      <w:pPr>
        <w:pStyle w:val="Heading2"/>
        <w:spacing w:after="120" w:before="240"/>
      </w:pPr>
      <w:r>
        <w:rPr>
          <w:rFonts w:ascii="Arial" w:cs="Arial" w:eastAsia="Arial" w:hAnsi="Arial"/>
          <w:b/>
          <w:bCs/>
          <w:color w:val="2E75B6"/>
          <w:sz w:val="26"/>
          <w:szCs w:val="26"/>
        </w:rPr>
        <w:t xml:space="preserve">3.3 Objets PL/SQL</w:t>
      </w:r>
    </w:p>
    <w:p>
      <w:pPr>
        <w:pStyle w:val="Heading3"/>
        <w:spacing w:after="90" w:before="180"/>
      </w:pPr>
      <w:r>
        <w:rPr>
          <w:rFonts w:ascii="Arial" w:cs="Arial" w:eastAsia="Arial" w:hAnsi="Arial"/>
          <w:b/>
          <w:bCs/>
          <w:color w:val="404040"/>
          <w:sz w:val="24"/>
          <w:szCs w:val="24"/>
        </w:rPr>
        <w:t xml:space="preserve">Procédure PRC_AJOUT_INTERVENTION</w:t>
      </w:r>
    </w:p>
    <w:p>
      <w:pPr>
        <w:spacing w:after="120"/>
        <w:jc w:val="both"/>
      </w:pPr>
      <w:r>
        <w:rPr>
          <w:rFonts w:ascii="Arial" w:cs="Arial" w:eastAsia="Arial" w:hAnsi="Arial"/>
          <w:b w:val="false"/>
          <w:bCs w:val="false"/>
          <w:sz w:val="22"/>
          <w:szCs w:val="22"/>
        </w:rPr>
        <w:t xml:space="preserve">Cette procédure garantit l'atomicité de l'opération en deux étapes : (1) validation des IDs matériel et technicien avec RAISE_APPLICATION_ERROR si introuvable, (2) insertion dans INTERVENTION + mise à jour de MATERIEL.ETAT à 'En réparation', le tout dans une même transaction (COMMIT ou ROLLBACK en cas d'erreur).</w:t>
      </w:r>
    </w:p>
    <w:p>
      <w:pPr>
        <w:spacing w:after="200"/>
      </w:pPr>
      <w:r>
        <w:t xml:space="preserve"/>
      </w:r>
    </w:p>
    <w:p>
      <w:pPr>
        <w:pStyle w:val="Heading3"/>
        <w:spacing w:after="90" w:before="180"/>
      </w:pPr>
      <w:r>
        <w:rPr>
          <w:rFonts w:ascii="Arial" w:cs="Arial" w:eastAsia="Arial" w:hAnsi="Arial"/>
          <w:b/>
          <w:bCs/>
          <w:color w:val="404040"/>
          <w:sz w:val="24"/>
          <w:szCs w:val="24"/>
        </w:rPr>
        <w:t xml:space="preserve">Fonction FNC_NB_INTERVENTIONS</w:t>
      </w:r>
    </w:p>
    <w:p>
      <w:pPr>
        <w:spacing w:after="120"/>
        <w:jc w:val="both"/>
      </w:pPr>
      <w:r>
        <w:rPr>
          <w:rFonts w:ascii="Arial" w:cs="Arial" w:eastAsia="Arial" w:hAnsi="Arial"/>
          <w:b w:val="false"/>
          <w:bCs w:val="false"/>
          <w:sz w:val="22"/>
          <w:szCs w:val="22"/>
        </w:rPr>
        <w:t xml:space="preserve">Retourne le nombre total d'interventions (COUNT(*)) pour un ID matériel donné. Appelée depuis PHP via un bloc anonyme PL/SQL (BEGIN :result := FNC_NB_INTERVENTIONS(:p_id); END;) pour récupérer la valeur scalaire.</w:t>
      </w:r>
    </w:p>
    <w:p>
      <w:pPr>
        <w:spacing w:after="200"/>
      </w:pPr>
      <w:r>
        <w:t xml:space="preserve"/>
      </w:r>
    </w:p>
    <w:p>
      <w:pPr>
        <w:spacing w:after="120"/>
        <w:jc w:val="both"/>
      </w:pPr>
      <w:r>
        <w:rPr>
          <w:rFonts w:ascii="Arial" w:cs="Arial" w:eastAsia="Arial" w:hAnsi="Arial"/>
          <w:b w:val="false"/>
          <w:bCs w:val="false"/>
          <w:sz w:val="22"/>
          <w:szCs w:val="22"/>
        </w:rPr>
        <w:t xml:space="preserve">La capture ci-dessous illustre l'exécution directe d'un SELECT * FROM MATERIEL dans Oracle SQL Developer, confirmant que les données de test sont bien persistées en base (12 matériels enregistrés avec leurs références, désignations et catégories) :</w:t>
      </w:r>
    </w:p>
    <w:p>
      <w:pPr>
        <w:spacing w:after="200"/>
      </w:pPr>
      <w:r>
        <w:t xml:space="preserve"/>
      </w:r>
    </w:p>
    <w:p>
      <w:pPr>
        <w:spacing w:after="60" w:before="120"/>
        <w:jc w:val="center"/>
      </w:pPr>
      <w:r>
        <w:drawing>
          <wp:inline distT="0" distB="0" distL="0" distR="0">
            <wp:extent cx="46672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67250" cy="2514600"/>
                    </a:xfrm>
                    <a:prstGeom prst="rect">
                      <a:avLst/>
                    </a:prstGeom>
                  </pic:spPr>
                </pic:pic>
              </a:graphicData>
            </a:graphic>
          </wp:inline>
        </w:drawing>
      </w:r>
    </w:p>
    <w:p>
      <w:pPr>
        <w:spacing w:after="240" w:before="60"/>
        <w:jc w:val="center"/>
      </w:pPr>
      <w:r>
        <w:rPr>
          <w:rFonts w:ascii="Arial" w:cs="Arial" w:eastAsia="Arial" w:hAnsi="Arial"/>
          <w:color w:val="666666"/>
          <w:sz w:val="18"/>
          <w:szCs w:val="18"/>
        </w:rPr>
        <w:t xml:space="preserve">Figure 9 — Oracle SQL Developer : résultat de SELECT * FROM MATERIEL — données persistées en base</w:t>
      </w:r>
    </w:p>
    <w:p>
      <w:pPr>
        <w:pStyle w:val="Heading1"/>
        <w:spacing w:after="180" w:before="360"/>
      </w:pPr>
      <w:r>
        <w:rPr>
          <w:rFonts w:ascii="Arial" w:cs="Arial" w:eastAsia="Arial" w:hAnsi="Arial"/>
          <w:b/>
          <w:bCs/>
          <w:color w:val="1F3864"/>
          <w:sz w:val="30"/>
          <w:szCs w:val="30"/>
        </w:rPr>
        <w:t xml:space="preserve">4. Interface Web PHP — Démonstration</w:t>
      </w:r>
    </w:p>
    <w:p>
      <w:pPr>
        <w:spacing w:after="120"/>
        <w:jc w:val="both"/>
      </w:pPr>
      <w:r>
        <w:rPr>
          <w:rFonts w:ascii="Arial" w:cs="Arial" w:eastAsia="Arial" w:hAnsi="Arial"/>
          <w:b w:val="false"/>
          <w:bCs w:val="false"/>
          <w:sz w:val="22"/>
          <w:szCs w:val="22"/>
        </w:rPr>
        <w:t xml:space="preserve">Cette section présente la démonstration complète de l'application via captures d'écran, couvrant l'ensemble des fonctionnalités exigées par le cahier des charges : tableau de bord, gestion du parc, ajout de matériel, maintenance et modification.</w:t>
      </w:r>
    </w:p>
    <w:p>
      <w:pPr>
        <w:spacing w:after="200"/>
      </w:pPr>
      <w:r>
        <w:t xml:space="preserve"/>
      </w:r>
    </w:p>
    <w:p>
      <w:pPr>
        <w:pStyle w:val="Heading2"/>
        <w:spacing w:after="120" w:before="240"/>
      </w:pPr>
      <w:r>
        <w:rPr>
          <w:rFonts w:ascii="Arial" w:cs="Arial" w:eastAsia="Arial" w:hAnsi="Arial"/>
          <w:b/>
          <w:bCs/>
          <w:color w:val="2E75B6"/>
          <w:sz w:val="26"/>
          <w:szCs w:val="26"/>
        </w:rPr>
        <w:t xml:space="preserve">4.1 Tableau de bord</w:t>
      </w:r>
    </w:p>
    <w:p>
      <w:pPr>
        <w:spacing w:after="120"/>
        <w:jc w:val="both"/>
      </w:pPr>
      <w:r>
        <w:rPr>
          <w:rFonts w:ascii="Arial" w:cs="Arial" w:eastAsia="Arial" w:hAnsi="Arial"/>
          <w:b w:val="false"/>
          <w:bCs w:val="false"/>
          <w:sz w:val="22"/>
          <w:szCs w:val="22"/>
        </w:rPr>
        <w:t xml:space="preserve">La page d'accueil présente une vue d'ensemble du parc matériel via 6 KPIs cliquables : total matériels (12), matériels en service (2), en réparation (0), déclassés (0), interventions enregistrées (30) et techniciens actifs (15). La section 'Dernières interventions' affiche les 5 opérations les plus récentes. La colonne droite montre la répartition par catégorie (Réseau 42%, Calcul 33%, Stockage 25%).</w:t>
      </w:r>
    </w:p>
    <w:p>
      <w:pPr>
        <w:spacing w:after="200"/>
      </w:pPr>
      <w:r>
        <w:t xml:space="preserve"/>
      </w:r>
    </w:p>
    <w:p>
      <w:pPr>
        <w:spacing w:after="60" w:before="120"/>
        <w:jc w:val="center"/>
      </w:pPr>
      <w:r>
        <w:drawing>
          <wp:inline distT="0" distB="0" distL="0" distR="0">
            <wp:extent cx="4762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457450"/>
                    </a:xfrm>
                    <a:prstGeom prst="rect">
                      <a:avLst/>
                    </a:prstGeom>
                  </pic:spPr>
                </pic:pic>
              </a:graphicData>
            </a:graphic>
          </wp:inline>
        </w:drawing>
      </w:r>
    </w:p>
    <w:p>
      <w:pPr>
        <w:spacing w:after="240" w:before="60"/>
        <w:jc w:val="center"/>
      </w:pPr>
      <w:r>
        <w:rPr>
          <w:rFonts w:ascii="Arial" w:cs="Arial" w:eastAsia="Arial" w:hAnsi="Arial"/>
          <w:color w:val="666666"/>
          <w:sz w:val="18"/>
          <w:szCs w:val="18"/>
        </w:rPr>
        <w:t xml:space="preserve">Figure 1 — Tableau de bord ASINCO : KPIs, dernières interventions et répartition par catégorie</w:t>
      </w:r>
    </w:p>
    <w:p>
      <w:pPr>
        <w:pStyle w:val="Heading2"/>
        <w:spacing w:after="120" w:before="240"/>
      </w:pPr>
      <w:r>
        <w:rPr>
          <w:rFonts w:ascii="Arial" w:cs="Arial" w:eastAsia="Arial" w:hAnsi="Arial"/>
          <w:b/>
          <w:bCs/>
          <w:color w:val="2E75B6"/>
          <w:sz w:val="26"/>
          <w:szCs w:val="26"/>
        </w:rPr>
        <w:t xml:space="preserve">4.2 Liste du parc matériel (tableau dynamique)</w:t>
      </w:r>
    </w:p>
    <w:p>
      <w:pPr>
        <w:spacing w:after="120"/>
        <w:jc w:val="both"/>
      </w:pPr>
      <w:r>
        <w:rPr>
          <w:rFonts w:ascii="Arial" w:cs="Arial" w:eastAsia="Arial" w:hAnsi="Arial"/>
          <w:b w:val="false"/>
          <w:bCs w:val="false"/>
          <w:sz w:val="22"/>
          <w:szCs w:val="22"/>
        </w:rPr>
        <w:t xml:space="preserve">La page Parc matériel affiche l'ensemble des 12 équipements sous forme de tableau filtrable par référence, catégorie et état. Chaque ligne expose la référence unique, la désignation, la catégorie, la date d'achat, l'état avec badge coloré, et le compteur d'interventions. Les boutons d'action (voir, modifier, supprimer) sont accessibles sur chaque ligne.</w:t>
      </w:r>
    </w:p>
    <w:p>
      <w:pPr>
        <w:spacing w:after="200"/>
      </w:pPr>
      <w:r>
        <w:t xml:space="preserve"/>
      </w:r>
    </w:p>
    <w:p>
      <w:pPr>
        <w:spacing w:after="60" w:before="120"/>
        <w:jc w:val="center"/>
      </w:pPr>
      <w:r>
        <w:drawing>
          <wp:inline distT="0" distB="0" distL="0" distR="0">
            <wp:extent cx="4762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343150"/>
                    </a:xfrm>
                    <a:prstGeom prst="rect">
                      <a:avLst/>
                    </a:prstGeom>
                  </pic:spPr>
                </pic:pic>
              </a:graphicData>
            </a:graphic>
          </wp:inline>
        </w:drawing>
      </w:r>
    </w:p>
    <w:p>
      <w:pPr>
        <w:spacing w:after="240" w:before="60"/>
        <w:jc w:val="center"/>
      </w:pPr>
      <w:r>
        <w:rPr>
          <w:rFonts w:ascii="Arial" w:cs="Arial" w:eastAsia="Arial" w:hAnsi="Arial"/>
          <w:color w:val="666666"/>
          <w:sz w:val="18"/>
          <w:szCs w:val="18"/>
        </w:rPr>
        <w:t xml:space="preserve">Figure 2 — Parc matériel : liste des 12 équipements avec filtres, états et actions</w:t>
      </w:r>
    </w:p>
    <w:p>
      <w:pPr>
        <w:pStyle w:val="Heading2"/>
        <w:spacing w:after="120" w:before="240"/>
      </w:pPr>
      <w:r>
        <w:rPr>
          <w:rFonts w:ascii="Arial" w:cs="Arial" w:eastAsia="Arial" w:hAnsi="Arial"/>
          <w:b/>
          <w:bCs/>
          <w:color w:val="2E75B6"/>
          <w:sz w:val="26"/>
          <w:szCs w:val="26"/>
        </w:rPr>
        <w:t xml:space="preserve">4.3 Formulaire d'ajout de matériel</w:t>
      </w:r>
    </w:p>
    <w:p>
      <w:pPr>
        <w:pStyle w:val="Heading3"/>
        <w:spacing w:after="90" w:before="180"/>
      </w:pPr>
      <w:r>
        <w:rPr>
          <w:rFonts w:ascii="Arial" w:cs="Arial" w:eastAsia="Arial" w:hAnsi="Arial"/>
          <w:b/>
          <w:bCs/>
          <w:color w:val="404040"/>
          <w:sz w:val="24"/>
          <w:szCs w:val="24"/>
        </w:rPr>
        <w:t xml:space="preserve">Formulaire vide</w:t>
      </w:r>
    </w:p>
    <w:p>
      <w:pPr>
        <w:spacing w:after="120"/>
        <w:jc w:val="both"/>
      </w:pPr>
      <w:r>
        <w:rPr>
          <w:rFonts w:ascii="Arial" w:cs="Arial" w:eastAsia="Arial" w:hAnsi="Arial"/>
          <w:b w:val="false"/>
          <w:bCs w:val="false"/>
          <w:sz w:val="22"/>
          <w:szCs w:val="22"/>
        </w:rPr>
        <w:t xml:space="preserve">Le formulaire d'ajout propose 4 champs obligatoires : Référence (identifiant unique en majuscules), Désignation, Date d'achat et Catégorie (sélecteur dynamique). L'état initial est défini à 'En service' par défaut. Un encadré 'Bonnes pratiques' guide l'utilisateur sur les règles de saisie.</w:t>
      </w:r>
    </w:p>
    <w:p>
      <w:pPr>
        <w:spacing w:after="200"/>
      </w:pPr>
      <w:r>
        <w:t xml:space="preserve"/>
      </w:r>
    </w:p>
    <w:p>
      <w:pPr>
        <w:spacing w:after="60" w:before="120"/>
        <w:jc w:val="center"/>
      </w:pPr>
      <w:r>
        <w:drawing>
          <wp:inline distT="0" distB="0" distL="0" distR="0">
            <wp:extent cx="4572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257425"/>
                    </a:xfrm>
                    <a:prstGeom prst="rect">
                      <a:avLst/>
                    </a:prstGeom>
                  </pic:spPr>
                </pic:pic>
              </a:graphicData>
            </a:graphic>
          </wp:inline>
        </w:drawing>
      </w:r>
    </w:p>
    <w:p>
      <w:pPr>
        <w:spacing w:after="240" w:before="60"/>
        <w:jc w:val="center"/>
      </w:pPr>
      <w:r>
        <w:rPr>
          <w:rFonts w:ascii="Arial" w:cs="Arial" w:eastAsia="Arial" w:hAnsi="Arial"/>
          <w:color w:val="666666"/>
          <w:sz w:val="18"/>
          <w:szCs w:val="18"/>
        </w:rPr>
        <w:t xml:space="preserve">Figure 3 — Formulaire Ajouter un matériel (vide) — champs requis et bonnes pratiques</w:t>
      </w:r>
    </w:p>
    <w:p>
      <w:pPr>
        <w:pStyle w:val="Heading3"/>
        <w:spacing w:after="90" w:before="180"/>
      </w:pPr>
      <w:r>
        <w:rPr>
          <w:rFonts w:ascii="Arial" w:cs="Arial" w:eastAsia="Arial" w:hAnsi="Arial"/>
          <w:b/>
          <w:bCs/>
          <w:color w:val="404040"/>
          <w:sz w:val="24"/>
          <w:szCs w:val="24"/>
        </w:rPr>
        <w:t xml:space="preserve">Formulaire rempli avant soumission</w:t>
      </w:r>
    </w:p>
    <w:p>
      <w:pPr>
        <w:spacing w:after="120"/>
        <w:jc w:val="both"/>
      </w:pPr>
      <w:r>
        <w:rPr>
          <w:rFonts w:ascii="Arial" w:cs="Arial" w:eastAsia="Arial" w:hAnsi="Arial"/>
          <w:b w:val="false"/>
          <w:bCs w:val="false"/>
          <w:sz w:val="22"/>
          <w:szCs w:val="22"/>
        </w:rPr>
        <w:t xml:space="preserve">Exemple de saisie pour un nouveau Switch Cisco Catalyst 9200L 48 ports (référence SW-CORP-48P-01), catégorie Réseau, date d'achat 06 mai 2026, état initial 'Déclassé' (démonstration des 3 états possibles).</w:t>
      </w:r>
    </w:p>
    <w:p>
      <w:pPr>
        <w:spacing w:after="200"/>
      </w:pPr>
      <w:r>
        <w:t xml:space="preserve"/>
      </w:r>
    </w:p>
    <w:p>
      <w:pPr>
        <w:spacing w:after="60" w:before="120"/>
        <w:jc w:val="center"/>
      </w:pPr>
      <w:r>
        <w:drawing>
          <wp:inline distT="0" distB="0" distL="0" distR="0">
            <wp:extent cx="4572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247900"/>
                    </a:xfrm>
                    <a:prstGeom prst="rect">
                      <a:avLst/>
                    </a:prstGeom>
                  </pic:spPr>
                </pic:pic>
              </a:graphicData>
            </a:graphic>
          </wp:inline>
        </w:drawing>
      </w:r>
    </w:p>
    <w:p>
      <w:pPr>
        <w:spacing w:after="240" w:before="60"/>
        <w:jc w:val="center"/>
      </w:pPr>
      <w:r>
        <w:rPr>
          <w:rFonts w:ascii="Arial" w:cs="Arial" w:eastAsia="Arial" w:hAnsi="Arial"/>
          <w:color w:val="666666"/>
          <w:sz w:val="18"/>
          <w:szCs w:val="18"/>
        </w:rPr>
        <w:t xml:space="preserve">Figure 4 — Formulaire rempli : SW-CORP-48P-01, Switch Cisco Catalyst 9200L 48 ports, état Déclassé</w:t>
      </w:r>
    </w:p>
    <w:p>
      <w:pPr>
        <w:pStyle w:val="Heading3"/>
        <w:spacing w:after="90" w:before="180"/>
      </w:pPr>
      <w:r>
        <w:rPr>
          <w:rFonts w:ascii="Arial" w:cs="Arial" w:eastAsia="Arial" w:hAnsi="Arial"/>
          <w:b/>
          <w:bCs/>
          <w:color w:val="404040"/>
          <w:sz w:val="24"/>
          <w:szCs w:val="24"/>
        </w:rPr>
        <w:t xml:space="preserve">Confirmation de création</w:t>
      </w:r>
    </w:p>
    <w:p>
      <w:pPr>
        <w:spacing w:after="120"/>
        <w:jc w:val="both"/>
      </w:pPr>
      <w:r>
        <w:rPr>
          <w:rFonts w:ascii="Arial" w:cs="Arial" w:eastAsia="Arial" w:hAnsi="Arial"/>
          <w:b w:val="false"/>
          <w:bCs w:val="false"/>
          <w:sz w:val="22"/>
          <w:szCs w:val="22"/>
        </w:rPr>
        <w:t xml:space="preserve">Après soumission, le système affiche un toast de confirmation 'Création réussie — Matériel SW-CORP-48P-01 créé.' et redirige vers la liste du parc. Le nouveau matériel apparaît en tête de liste avec son état Déclassé bien visible.</w:t>
      </w:r>
    </w:p>
    <w:p>
      <w:pPr>
        <w:spacing w:after="200"/>
      </w:pPr>
      <w:r>
        <w:t xml:space="preserve"/>
      </w:r>
    </w:p>
    <w:p>
      <w:pPr>
        <w:spacing w:after="60" w:before="120"/>
        <w:jc w:val="center"/>
      </w:pPr>
      <w:r>
        <w:drawing>
          <wp:inline distT="0" distB="0" distL="0" distR="0">
            <wp:extent cx="4762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343150"/>
                    </a:xfrm>
                    <a:prstGeom prst="rect">
                      <a:avLst/>
                    </a:prstGeom>
                  </pic:spPr>
                </pic:pic>
              </a:graphicData>
            </a:graphic>
          </wp:inline>
        </w:drawing>
      </w:r>
    </w:p>
    <w:p>
      <w:pPr>
        <w:spacing w:after="240" w:before="60"/>
        <w:jc w:val="center"/>
      </w:pPr>
      <w:r>
        <w:rPr>
          <w:rFonts w:ascii="Arial" w:cs="Arial" w:eastAsia="Arial" w:hAnsi="Arial"/>
          <w:color w:val="666666"/>
          <w:sz w:val="18"/>
          <w:szCs w:val="18"/>
        </w:rPr>
        <w:t xml:space="preserve">Figure 5 — Confirmation : toast 'Création réussie' et matériel SW-CORP-48P-01 visible dans la liste</w:t>
      </w:r>
    </w:p>
    <w:p>
      <w:pPr>
        <w:pStyle w:val="Heading2"/>
        <w:spacing w:after="120" w:before="240"/>
      </w:pPr>
      <w:r>
        <w:rPr>
          <w:rFonts w:ascii="Arial" w:cs="Arial" w:eastAsia="Arial" w:hAnsi="Arial"/>
          <w:b/>
          <w:bCs/>
          <w:color w:val="2E75B6"/>
          <w:sz w:val="26"/>
          <w:szCs w:val="26"/>
        </w:rPr>
        <w:t xml:space="preserve">4.4 Formulaire d'enregistrement d'une intervention (PRC_AJOUT_INTERVENTION)</w:t>
      </w:r>
    </w:p>
    <w:p>
      <w:pPr>
        <w:pStyle w:val="Heading3"/>
        <w:spacing w:after="90" w:before="180"/>
      </w:pPr>
      <w:r>
        <w:rPr>
          <w:rFonts w:ascii="Arial" w:cs="Arial" w:eastAsia="Arial" w:hAnsi="Arial"/>
          <w:b/>
          <w:bCs/>
          <w:color w:val="404040"/>
          <w:sz w:val="24"/>
          <w:szCs w:val="24"/>
        </w:rPr>
        <w:t xml:space="preserve">Formulaire vide</w:t>
      </w:r>
    </w:p>
    <w:p>
      <w:pPr>
        <w:spacing w:after="120"/>
        <w:jc w:val="both"/>
      </w:pPr>
      <w:r>
        <w:rPr>
          <w:rFonts w:ascii="Arial" w:cs="Arial" w:eastAsia="Arial" w:hAnsi="Arial"/>
          <w:b w:val="false"/>
          <w:bCs w:val="false"/>
          <w:sz w:val="22"/>
          <w:szCs w:val="22"/>
        </w:rPr>
        <w:t xml:space="preserve">Le formulaire d'intervention comporte 5 champs : Matériel concerné (sélecteur), Technicien (sélecteur), Date d'intervention (pré-remplie à aujourd'hui), Durée estimée et Description. Un encadré 'Effets automatiques' rappelle que la procédure PRC_AJOUT_INTERVENTION basculera automatiquement l'état du matériel en 'En réparation' et incrémentera son compteur d'interventions.</w:t>
      </w:r>
    </w:p>
    <w:p>
      <w:pPr>
        <w:spacing w:after="200"/>
      </w:pPr>
      <w:r>
        <w:t xml:space="preserve"/>
      </w:r>
    </w:p>
    <w:p>
      <w:pPr>
        <w:spacing w:after="60" w:before="120"/>
        <w:jc w:val="center"/>
      </w:pPr>
      <w:r>
        <w:drawing>
          <wp:inline distT="0" distB="0" distL="0" distR="0">
            <wp:extent cx="4572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257425"/>
                    </a:xfrm>
                    <a:prstGeom prst="rect">
                      <a:avLst/>
                    </a:prstGeom>
                  </pic:spPr>
                </pic:pic>
              </a:graphicData>
            </a:graphic>
          </wp:inline>
        </w:drawing>
      </w:r>
    </w:p>
    <w:p>
      <w:pPr>
        <w:spacing w:after="240" w:before="60"/>
        <w:jc w:val="center"/>
      </w:pPr>
      <w:r>
        <w:rPr>
          <w:rFonts w:ascii="Arial" w:cs="Arial" w:eastAsia="Arial" w:hAnsi="Arial"/>
          <w:color w:val="666666"/>
          <w:sz w:val="18"/>
          <w:szCs w:val="18"/>
        </w:rPr>
        <w:t xml:space="preserve">Figure 6 — Formulaire Enregistrer une intervention (vide) — effets automatiques Oracle visibles</w:t>
      </w:r>
    </w:p>
    <w:p>
      <w:pPr>
        <w:pStyle w:val="Heading3"/>
        <w:spacing w:after="90" w:before="180"/>
      </w:pPr>
      <w:r>
        <w:rPr>
          <w:rFonts w:ascii="Arial" w:cs="Arial" w:eastAsia="Arial" w:hAnsi="Arial"/>
          <w:b/>
          <w:bCs/>
          <w:color w:val="404040"/>
          <w:sz w:val="24"/>
          <w:szCs w:val="24"/>
        </w:rPr>
        <w:t xml:space="preserve">Formulaire rempli — appel à PRC_AJOUT_INTERVENTION</w:t>
      </w:r>
    </w:p>
    <w:p>
      <w:pPr>
        <w:spacing w:after="120"/>
        <w:jc w:val="both"/>
      </w:pPr>
      <w:r>
        <w:rPr>
          <w:rFonts w:ascii="Arial" w:cs="Arial" w:eastAsia="Arial" w:hAnsi="Arial"/>
          <w:b w:val="false"/>
          <w:bCs w:val="false"/>
          <w:sz w:val="22"/>
          <w:szCs w:val="22"/>
        </w:rPr>
        <w:t xml:space="preserve">Démonstration de l'appel à la procédure stockée : matériel SW-HP-1950-01 (HP Aruba 1950 Switch), technicien Mathieu KOUASSI (spécialité Réseau), date 09 mai 2026, durée 2h, description 'Difficulté/Impossibilité à se connecter à un wifi'. À la soumission, PHP appelle PRC_AJOUT_INTERVENTION via OCI8, qui insère la ligne dans INTERVENTION et met à jour MATERIEL.ETAT = 'En reparation' en une seule transaction atomique.</w:t>
      </w:r>
    </w:p>
    <w:p>
      <w:pPr>
        <w:spacing w:after="200"/>
      </w:pPr>
      <w:r>
        <w:t xml:space="preserve"/>
      </w:r>
    </w:p>
    <w:p>
      <w:pPr>
        <w:spacing w:after="60" w:before="120"/>
        <w:jc w:val="center"/>
      </w:pPr>
      <w:r>
        <w:drawing>
          <wp:inline distT="0" distB="0" distL="0" distR="0">
            <wp:extent cx="4572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371725"/>
                    </a:xfrm>
                    <a:prstGeom prst="rect">
                      <a:avLst/>
                    </a:prstGeom>
                  </pic:spPr>
                </pic:pic>
              </a:graphicData>
            </a:graphic>
          </wp:inline>
        </w:drawing>
      </w:r>
    </w:p>
    <w:p>
      <w:pPr>
        <w:spacing w:after="240" w:before="60"/>
        <w:jc w:val="center"/>
      </w:pPr>
      <w:r>
        <w:rPr>
          <w:rFonts w:ascii="Arial" w:cs="Arial" w:eastAsia="Arial" w:hAnsi="Arial"/>
          <w:color w:val="666666"/>
          <w:sz w:val="18"/>
          <w:szCs w:val="18"/>
        </w:rPr>
        <w:t xml:space="preserve">Figure 7 — Formulaire rempli : SW-HP-1950-01 / Mathieu KOUASSI — appel à PRC_AJOUT_INTERVENTION</w:t>
      </w:r>
    </w:p>
    <w:p>
      <w:pPr>
        <w:pStyle w:val="Heading2"/>
        <w:spacing w:after="120" w:before="240"/>
      </w:pPr>
      <w:r>
        <w:rPr>
          <w:rFonts w:ascii="Arial" w:cs="Arial" w:eastAsia="Arial" w:hAnsi="Arial"/>
          <w:b/>
          <w:bCs/>
          <w:color w:val="2E75B6"/>
          <w:sz w:val="26"/>
          <w:szCs w:val="26"/>
        </w:rPr>
        <w:t xml:space="preserve">4.5 Modification d'un matériel existant</w:t>
      </w:r>
    </w:p>
    <w:p>
      <w:pPr>
        <w:spacing w:after="120"/>
        <w:jc w:val="both"/>
      </w:pPr>
      <w:r>
        <w:rPr>
          <w:rFonts w:ascii="Arial" w:cs="Arial" w:eastAsia="Arial" w:hAnsi="Arial"/>
          <w:b w:val="false"/>
          <w:bCs w:val="false"/>
          <w:sz w:val="22"/>
          <w:szCs w:val="22"/>
        </w:rPr>
        <w:t xml:space="preserve">La page de modification pré-remplit tous les champs du matériel sélectionné (ici NAS-SYNO-RS820, Synology RackStation RS820+, catégorie Stockage, acheté le 30 mars 2022). L'encadré Méta affiche l'ID interne (7), le nombre d'interventions (3, résultat de FNC_NB_INTERVENTIONS) et l'état courant (En réparation). L'état peut être modifié librement depuis ce formulaire.</w:t>
      </w:r>
    </w:p>
    <w:p>
      <w:pPr>
        <w:spacing w:after="200"/>
      </w:pPr>
      <w:r>
        <w:t xml:space="preserve"/>
      </w:r>
    </w:p>
    <w:p>
      <w:pPr>
        <w:spacing w:after="60" w:before="120"/>
        <w:jc w:val="center"/>
      </w:pPr>
      <w:r>
        <w:drawing>
          <wp:inline distT="0" distB="0" distL="0" distR="0">
            <wp:extent cx="4572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247900"/>
                    </a:xfrm>
                    <a:prstGeom prst="rect">
                      <a:avLst/>
                    </a:prstGeom>
                  </pic:spPr>
                </pic:pic>
              </a:graphicData>
            </a:graphic>
          </wp:inline>
        </w:drawing>
      </w:r>
    </w:p>
    <w:p>
      <w:pPr>
        <w:spacing w:after="240" w:before="60"/>
        <w:jc w:val="center"/>
      </w:pPr>
      <w:r>
        <w:rPr>
          <w:rFonts w:ascii="Arial" w:cs="Arial" w:eastAsia="Arial" w:hAnsi="Arial"/>
          <w:color w:val="666666"/>
          <w:sz w:val="18"/>
          <w:szCs w:val="18"/>
        </w:rPr>
        <w:t xml:space="preserve">Figure 8 — Modification NAS-SYNO-RS820 : pré-remplissage, méta Oracle (ID=7, 3 interventions) visible</w:t>
      </w:r>
    </w:p>
    <w:p>
      <w:pPr>
        <w:pStyle w:val="Heading1"/>
        <w:spacing w:after="180" w:before="360"/>
      </w:pPr>
      <w:r>
        <w:rPr>
          <w:rFonts w:ascii="Arial" w:cs="Arial" w:eastAsia="Arial" w:hAnsi="Arial"/>
          <w:b/>
          <w:bCs/>
          <w:color w:val="1F3864"/>
          <w:sz w:val="30"/>
          <w:szCs w:val="30"/>
        </w:rPr>
        <w:t xml:space="preserve">5. Connexion Oracle (OCI8)</w:t>
      </w:r>
    </w:p>
    <w:p>
      <w:pPr>
        <w:spacing w:after="120"/>
        <w:jc w:val="both"/>
      </w:pPr>
      <w:r>
        <w:rPr>
          <w:rFonts w:ascii="Arial" w:cs="Arial" w:eastAsia="Arial" w:hAnsi="Arial"/>
          <w:b w:val="false"/>
          <w:bCs w:val="false"/>
          <w:sz w:val="22"/>
          <w:szCs w:val="22"/>
        </w:rPr>
        <w:t xml:space="preserve">Le fichier php/config/connexion.php centralise la connexion via oci_connect() en singleton. Il expose des helpers génériques :</w:t>
      </w:r>
    </w:p>
    <w:p>
      <w:pPr>
        <w:pStyle w:val="ListParagraph"/>
        <w:numPr>
          <w:ilvl w:val="0"/>
          <w:numId w:val="2"/>
        </w:numPr>
        <w:spacing w:after="80"/>
      </w:pPr>
      <w:r>
        <w:rPr>
          <w:rFonts w:ascii="Arial" w:cs="Arial" w:eastAsia="Arial" w:hAnsi="Arial"/>
          <w:sz w:val="22"/>
          <w:szCs w:val="22"/>
        </w:rPr>
        <w:t xml:space="preserve">asinco_query() pour les SELECT avec bind variables.</w:t>
      </w:r>
    </w:p>
    <w:p>
      <w:pPr>
        <w:pStyle w:val="ListParagraph"/>
        <w:numPr>
          <w:ilvl w:val="0"/>
          <w:numId w:val="2"/>
        </w:numPr>
        <w:spacing w:after="80"/>
      </w:pPr>
      <w:r>
        <w:rPr>
          <w:rFonts w:ascii="Arial" w:cs="Arial" w:eastAsia="Arial" w:hAnsi="Arial"/>
          <w:sz w:val="22"/>
          <w:szCs w:val="22"/>
        </w:rPr>
        <w:t xml:space="preserve">asinco_execute() pour les DML (INSERT, UPDATE, DELETE).</w:t>
      </w:r>
    </w:p>
    <w:p>
      <w:pPr>
        <w:pStyle w:val="ListParagraph"/>
        <w:numPr>
          <w:ilvl w:val="0"/>
          <w:numId w:val="2"/>
        </w:numPr>
        <w:spacing w:after="80"/>
      </w:pPr>
      <w:r>
        <w:rPr>
          <w:rFonts w:ascii="Arial" w:cs="Arial" w:eastAsia="Arial" w:hAnsi="Arial"/>
          <w:sz w:val="22"/>
          <w:szCs w:val="22"/>
        </w:rPr>
        <w:t xml:space="preserve">asinco_call_procedure() pour appeler PRC_AJOUT_INTERVENTION avec les paramètres liés.</w:t>
      </w:r>
    </w:p>
    <w:p>
      <w:pPr>
        <w:pStyle w:val="ListParagraph"/>
        <w:numPr>
          <w:ilvl w:val="0"/>
          <w:numId w:val="2"/>
        </w:numPr>
        <w:spacing w:after="80"/>
      </w:pPr>
      <w:r>
        <w:rPr>
          <w:rFonts w:ascii="Arial" w:cs="Arial" w:eastAsia="Arial" w:hAnsi="Arial"/>
          <w:sz w:val="22"/>
          <w:szCs w:val="22"/>
        </w:rPr>
        <w:t xml:space="preserve">asinco_fnc_nb_interventions() : encapsule l'appel dans un bloc anonyme BEGIN :result := FNC_NB_INTERVENTIONS(:p_id); END; et retourne la valeur scalaire.</w:t>
      </w:r>
    </w:p>
    <w:p>
      <w:pPr>
        <w:spacing w:after="200"/>
      </w:pPr>
      <w:r>
        <w:t xml:space="preserve"/>
      </w:r>
    </w:p>
    <w:p>
      <w:pPr>
        <w:spacing w:after="120"/>
        <w:jc w:val="both"/>
      </w:pPr>
      <w:r>
        <w:rPr>
          <w:rFonts w:ascii="Arial" w:cs="Arial" w:eastAsia="Arial" w:hAnsi="Arial"/>
          <w:b w:val="false"/>
          <w:bCs w:val="false"/>
          <w:sz w:val="22"/>
          <w:szCs w:val="22"/>
        </w:rPr>
        <w:t xml:space="preserve">Toutes les requêtes utilisent des bind variables (:parametre) pour prévenir les injections SQL. La valeur retournée par FNC_NB_INTERVENTIONS est bindée en SQLT_INT et affichée directement sur la fiche matériel (visible dans la Figure 8, Méta : Interventions = 3).</w:t>
      </w:r>
    </w:p>
    <w:p>
      <w:pPr>
        <w:spacing w:after="200"/>
      </w:pPr>
      <w:r>
        <w:t xml:space="preserve"/>
      </w:r>
    </w:p>
    <w:p>
      <w:pPr>
        <w:pStyle w:val="Heading1"/>
        <w:spacing w:after="180" w:before="360"/>
      </w:pPr>
      <w:r>
        <w:rPr>
          <w:rFonts w:ascii="Arial" w:cs="Arial" w:eastAsia="Arial" w:hAnsi="Arial"/>
          <w:b/>
          <w:bCs/>
          <w:color w:val="1F3864"/>
          <w:sz w:val="30"/>
          <w:szCs w:val="30"/>
        </w:rPr>
        <w:t xml:space="preserve">6. Vérification du Cahier des Charges</w:t>
      </w:r>
    </w:p>
    <w:p>
      <w:pPr>
        <w:pStyle w:val="Heading2"/>
        <w:spacing w:after="120" w:before="240"/>
      </w:pPr>
      <w:r>
        <w:rPr>
          <w:rFonts w:ascii="Arial" w:cs="Arial" w:eastAsia="Arial" w:hAnsi="Arial"/>
          <w:b/>
          <w:bCs/>
          <w:color w:val="2E75B6"/>
          <w:sz w:val="26"/>
          <w:szCs w:val="26"/>
        </w:rPr>
        <w:t xml:space="preserve">6.1 Besoins fonctionnels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c>
          <w:tcPr>
            <w:tcW w:type="dxa" w:w="4200"/>
            <w:tcBorders>
              <w:top w:val="single" w:color="2E4057" w:sz="1"/>
              <w:left w:val="single" w:color="2E4057" w:sz="1"/>
              <w:bottom w:val="single" w:color="2E4057" w:sz="1"/>
              <w:right w:val="single" w:color="2E4057" w:sz="1"/>
            </w:tcBorders>
            <w:shd w:fill="1F3864"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Exigence</w:t>
            </w:r>
          </w:p>
        </w:tc>
        <w:tc>
          <w:tcPr>
            <w:tcW w:type="dxa" w:w="1200"/>
            <w:tcBorders>
              <w:top w:val="single" w:color="2E4057" w:sz="1"/>
              <w:left w:val="single" w:color="2E4057" w:sz="1"/>
              <w:bottom w:val="single" w:color="2E4057" w:sz="1"/>
              <w:right w:val="single" w:color="2E4057" w:sz="1"/>
            </w:tcBorders>
            <w:shd w:fill="1F3864"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Statut</w:t>
            </w:r>
          </w:p>
        </w:tc>
        <w:tc>
          <w:tcPr>
            <w:tcW w:type="dxa" w:w="3960"/>
            <w:tcBorders>
              <w:top w:val="single" w:color="2E4057" w:sz="1"/>
              <w:left w:val="single" w:color="2E4057" w:sz="1"/>
              <w:bottom w:val="single" w:color="2E4057" w:sz="1"/>
              <w:right w:val="single" w:color="2E4057" w:sz="1"/>
            </w:tcBorders>
            <w:shd w:fill="1F3864"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Référence / Capture</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Afficher la liste de tous les matériels (tableau dynamique)</w:t>
            </w:r>
          </w:p>
        </w:tc>
        <w:tc>
          <w:tcPr>
            <w:tcW w:type="dxa" w:w="1200"/>
            <w:tcBorders>
              <w:top w:val="single" w:color="CCCCCC" w:sz="1"/>
              <w:left w:val="single" w:color="CCCCCC" w:sz="1"/>
              <w:bottom w:val="single" w:color="CCCCCC" w:sz="1"/>
              <w:right w:val="single" w:color="CCCCCC" w:sz="1"/>
            </w:tcBorders>
            <w:shd w:fill="D6EFD8" w:val="clear"/>
            <w:tcMar>
              <w:top w:type="dxa" w:w="80"/>
              <w:left w:type="dxa" w:w="140"/>
              <w:bottom w:type="dxa" w:w="80"/>
              <w:right w:type="dxa" w:w="140"/>
            </w:tcMar>
            <w:vAlign w:val="center"/>
          </w:tcPr>
          <w:p>
            <w:pPr>
              <w:jc w:val="center"/>
            </w:pPr>
            <w:r>
              <w:rPr>
                <w:rFonts w:ascii="Arial" w:cs="Arial" w:eastAsia="Arial" w:hAnsi="Arial"/>
                <w:b/>
                <w:bCs/>
                <w:i w:val="false"/>
                <w:iCs w:val="false"/>
                <w:color w:val="1A6B2A"/>
                <w:sz w:val="19"/>
                <w:szCs w:val="19"/>
              </w:rPr>
              <w:t xml:space="preserve">✅ OK</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materiel/liste.php + filtres — Fig. 2</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Ajouter un nouveau matériel (réf. unique, désignation, date, catégorie)</w:t>
            </w:r>
          </w:p>
        </w:tc>
        <w:tc>
          <w:tcPr>
            <w:tcW w:type="dxa" w:w="1200"/>
            <w:tcBorders>
              <w:top w:val="single" w:color="CCCCCC" w:sz="1"/>
              <w:left w:val="single" w:color="CCCCCC" w:sz="1"/>
              <w:bottom w:val="single" w:color="CCCCCC" w:sz="1"/>
              <w:right w:val="single" w:color="CCCCCC" w:sz="1"/>
            </w:tcBorders>
            <w:shd w:fill="D6EFD8" w:val="clear"/>
            <w:tcMar>
              <w:top w:type="dxa" w:w="80"/>
              <w:left w:type="dxa" w:w="140"/>
              <w:bottom w:type="dxa" w:w="80"/>
              <w:right w:type="dxa" w:w="140"/>
            </w:tcMar>
            <w:vAlign w:val="center"/>
          </w:tcPr>
          <w:p>
            <w:pPr>
              <w:jc w:val="center"/>
            </w:pPr>
            <w:r>
              <w:rPr>
                <w:rFonts w:ascii="Arial" w:cs="Arial" w:eastAsia="Arial" w:hAnsi="Arial"/>
                <w:b/>
                <w:bCs/>
                <w:i w:val="false"/>
                <w:iCs w:val="false"/>
                <w:color w:val="1A6B2A"/>
                <w:sz w:val="19"/>
                <w:szCs w:val="19"/>
              </w:rPr>
              <w:t xml:space="preserve">✅ OK</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materiel/ajout.php — Fig. 3, 4, 5</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Modifier les informations d'un équipement existant</w:t>
            </w:r>
          </w:p>
        </w:tc>
        <w:tc>
          <w:tcPr>
            <w:tcW w:type="dxa" w:w="1200"/>
            <w:tcBorders>
              <w:top w:val="single" w:color="CCCCCC" w:sz="1"/>
              <w:left w:val="single" w:color="CCCCCC" w:sz="1"/>
              <w:bottom w:val="single" w:color="CCCCCC" w:sz="1"/>
              <w:right w:val="single" w:color="CCCCCC" w:sz="1"/>
            </w:tcBorders>
            <w:shd w:fill="D6EFD8" w:val="clear"/>
            <w:tcMar>
              <w:top w:type="dxa" w:w="80"/>
              <w:left w:type="dxa" w:w="140"/>
              <w:bottom w:type="dxa" w:w="80"/>
              <w:right w:type="dxa" w:w="140"/>
            </w:tcMar>
            <w:vAlign w:val="center"/>
          </w:tcPr>
          <w:p>
            <w:pPr>
              <w:jc w:val="center"/>
            </w:pPr>
            <w:r>
              <w:rPr>
                <w:rFonts w:ascii="Arial" w:cs="Arial" w:eastAsia="Arial" w:hAnsi="Arial"/>
                <w:b/>
                <w:bCs/>
                <w:i w:val="false"/>
                <w:iCs w:val="false"/>
                <w:color w:val="1A6B2A"/>
                <w:sz w:val="19"/>
                <w:szCs w:val="19"/>
              </w:rPr>
              <w:t xml:space="preserve">✅ OK</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materiel/modification.php — Fig. 8</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Consulter l'état d'un matériel (En service / En réparation / Déclassé)</w:t>
            </w:r>
          </w:p>
        </w:tc>
        <w:tc>
          <w:tcPr>
            <w:tcW w:type="dxa" w:w="1200"/>
            <w:tcBorders>
              <w:top w:val="single" w:color="CCCCCC" w:sz="1"/>
              <w:left w:val="single" w:color="CCCCCC" w:sz="1"/>
              <w:bottom w:val="single" w:color="CCCCCC" w:sz="1"/>
              <w:right w:val="single" w:color="CCCCCC" w:sz="1"/>
            </w:tcBorders>
            <w:shd w:fill="D6EFD8" w:val="clear"/>
            <w:tcMar>
              <w:top w:type="dxa" w:w="80"/>
              <w:left w:type="dxa" w:w="140"/>
              <w:bottom w:type="dxa" w:w="80"/>
              <w:right w:type="dxa" w:w="140"/>
            </w:tcMar>
            <w:vAlign w:val="center"/>
          </w:tcPr>
          <w:p>
            <w:pPr>
              <w:jc w:val="center"/>
            </w:pPr>
            <w:r>
              <w:rPr>
                <w:rFonts w:ascii="Arial" w:cs="Arial" w:eastAsia="Arial" w:hAnsi="Arial"/>
                <w:b/>
                <w:bCs/>
                <w:i w:val="false"/>
                <w:iCs w:val="false"/>
                <w:color w:val="1A6B2A"/>
                <w:sz w:val="19"/>
                <w:szCs w:val="19"/>
              </w:rPr>
              <w:t xml:space="preserve">✅ OK</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Fiche + liste avec badge — Fig. 2</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Classer les matériels par catégorie (Réseau, Stockage, Calcul)</w:t>
            </w:r>
          </w:p>
        </w:tc>
        <w:tc>
          <w:tcPr>
            <w:tcW w:type="dxa" w:w="1200"/>
            <w:tcBorders>
              <w:top w:val="single" w:color="CCCCCC" w:sz="1"/>
              <w:left w:val="single" w:color="CCCCCC" w:sz="1"/>
              <w:bottom w:val="single" w:color="CCCCCC" w:sz="1"/>
              <w:right w:val="single" w:color="CCCCCC" w:sz="1"/>
            </w:tcBorders>
            <w:shd w:fill="D6EFD8" w:val="clear"/>
            <w:tcMar>
              <w:top w:type="dxa" w:w="80"/>
              <w:left w:type="dxa" w:w="140"/>
              <w:bottom w:type="dxa" w:w="80"/>
              <w:right w:type="dxa" w:w="140"/>
            </w:tcMar>
            <w:vAlign w:val="center"/>
          </w:tcPr>
          <w:p>
            <w:pPr>
              <w:jc w:val="center"/>
            </w:pPr>
            <w:r>
              <w:rPr>
                <w:rFonts w:ascii="Arial" w:cs="Arial" w:eastAsia="Arial" w:hAnsi="Arial"/>
                <w:b/>
                <w:bCs/>
                <w:i w:val="false"/>
                <w:iCs w:val="false"/>
                <w:color w:val="1A6B2A"/>
                <w:sz w:val="19"/>
                <w:szCs w:val="19"/>
              </w:rPr>
              <w:t xml:space="preserve">✅ OK</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Filtre catégorie dans liste — Fig. 2</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Enregistrer une intervention via formulaire</w:t>
            </w:r>
          </w:p>
        </w:tc>
        <w:tc>
          <w:tcPr>
            <w:tcW w:type="dxa" w:w="1200"/>
            <w:tcBorders>
              <w:top w:val="single" w:color="CCCCCC" w:sz="1"/>
              <w:left w:val="single" w:color="CCCCCC" w:sz="1"/>
              <w:bottom w:val="single" w:color="CCCCCC" w:sz="1"/>
              <w:right w:val="single" w:color="CCCCCC" w:sz="1"/>
            </w:tcBorders>
            <w:shd w:fill="D6EFD8" w:val="clear"/>
            <w:tcMar>
              <w:top w:type="dxa" w:w="80"/>
              <w:left w:type="dxa" w:w="140"/>
              <w:bottom w:type="dxa" w:w="80"/>
              <w:right w:type="dxa" w:w="140"/>
            </w:tcMar>
            <w:vAlign w:val="center"/>
          </w:tcPr>
          <w:p>
            <w:pPr>
              <w:jc w:val="center"/>
            </w:pPr>
            <w:r>
              <w:rPr>
                <w:rFonts w:ascii="Arial" w:cs="Arial" w:eastAsia="Arial" w:hAnsi="Arial"/>
                <w:b/>
                <w:bCs/>
                <w:i w:val="false"/>
                <w:iCs w:val="false"/>
                <w:color w:val="1A6B2A"/>
                <w:sz w:val="19"/>
                <w:szCs w:val="19"/>
              </w:rPr>
              <w:t xml:space="preserve">✅ OK</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maintenance/formulaire.php — Fig. 6, 7</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Associer chaque intervention à une date, description, technicien</w:t>
            </w:r>
          </w:p>
        </w:tc>
        <w:tc>
          <w:tcPr>
            <w:tcW w:type="dxa" w:w="1200"/>
            <w:tcBorders>
              <w:top w:val="single" w:color="CCCCCC" w:sz="1"/>
              <w:left w:val="single" w:color="CCCCCC" w:sz="1"/>
              <w:bottom w:val="single" w:color="CCCCCC" w:sz="1"/>
              <w:right w:val="single" w:color="CCCCCC" w:sz="1"/>
            </w:tcBorders>
            <w:shd w:fill="D6EFD8" w:val="clear"/>
            <w:tcMar>
              <w:top w:type="dxa" w:w="80"/>
              <w:left w:type="dxa" w:w="140"/>
              <w:bottom w:type="dxa" w:w="80"/>
              <w:right w:type="dxa" w:w="140"/>
            </w:tcMar>
            <w:vAlign w:val="center"/>
          </w:tcPr>
          <w:p>
            <w:pPr>
              <w:jc w:val="center"/>
            </w:pPr>
            <w:r>
              <w:rPr>
                <w:rFonts w:ascii="Arial" w:cs="Arial" w:eastAsia="Arial" w:hAnsi="Arial"/>
                <w:b/>
                <w:bCs/>
                <w:i w:val="false"/>
                <w:iCs w:val="false"/>
                <w:color w:val="1A6B2A"/>
                <w:sz w:val="19"/>
                <w:szCs w:val="19"/>
              </w:rPr>
              <w:t xml:space="preserve">✅ OK</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Champs du formulaire + PRC — Fig. 7</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Mise à jour automatique état matériel à 'En réparation'</w:t>
            </w:r>
          </w:p>
        </w:tc>
        <w:tc>
          <w:tcPr>
            <w:tcW w:type="dxa" w:w="1200"/>
            <w:tcBorders>
              <w:top w:val="single" w:color="CCCCCC" w:sz="1"/>
              <w:left w:val="single" w:color="CCCCCC" w:sz="1"/>
              <w:bottom w:val="single" w:color="CCCCCC" w:sz="1"/>
              <w:right w:val="single" w:color="CCCCCC" w:sz="1"/>
            </w:tcBorders>
            <w:shd w:fill="D6EFD8" w:val="clear"/>
            <w:tcMar>
              <w:top w:type="dxa" w:w="80"/>
              <w:left w:type="dxa" w:w="140"/>
              <w:bottom w:type="dxa" w:w="80"/>
              <w:right w:type="dxa" w:w="140"/>
            </w:tcMar>
            <w:vAlign w:val="center"/>
          </w:tcPr>
          <w:p>
            <w:pPr>
              <w:jc w:val="center"/>
            </w:pPr>
            <w:r>
              <w:rPr>
                <w:rFonts w:ascii="Arial" w:cs="Arial" w:eastAsia="Arial" w:hAnsi="Arial"/>
                <w:b/>
                <w:bCs/>
                <w:i w:val="false"/>
                <w:iCs w:val="false"/>
                <w:color w:val="1A6B2A"/>
                <w:sz w:val="19"/>
                <w:szCs w:val="19"/>
              </w:rPr>
              <w:t xml:space="preserve">✅ OK</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PRC_AJOUT_INTERVENTION — Fig. 7</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Afficher le nombre total d'interventions par matériel</w:t>
            </w:r>
          </w:p>
        </w:tc>
        <w:tc>
          <w:tcPr>
            <w:tcW w:type="dxa" w:w="1200"/>
            <w:tcBorders>
              <w:top w:val="single" w:color="CCCCCC" w:sz="1"/>
              <w:left w:val="single" w:color="CCCCCC" w:sz="1"/>
              <w:bottom w:val="single" w:color="CCCCCC" w:sz="1"/>
              <w:right w:val="single" w:color="CCCCCC" w:sz="1"/>
            </w:tcBorders>
            <w:shd w:fill="D6EFD8" w:val="clear"/>
            <w:tcMar>
              <w:top w:type="dxa" w:w="80"/>
              <w:left w:type="dxa" w:w="140"/>
              <w:bottom w:type="dxa" w:w="80"/>
              <w:right w:type="dxa" w:w="140"/>
            </w:tcMar>
            <w:vAlign w:val="center"/>
          </w:tcPr>
          <w:p>
            <w:pPr>
              <w:jc w:val="center"/>
            </w:pPr>
            <w:r>
              <w:rPr>
                <w:rFonts w:ascii="Arial" w:cs="Arial" w:eastAsia="Arial" w:hAnsi="Arial"/>
                <w:b/>
                <w:bCs/>
                <w:i w:val="false"/>
                <w:iCs w:val="false"/>
                <w:color w:val="1A6B2A"/>
                <w:sz w:val="19"/>
                <w:szCs w:val="19"/>
              </w:rPr>
              <w:t xml:space="preserve">✅ OK</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FNC_NB_INTERVENTIONS — Fig. 8 Méta</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Données persistées en base Oracle (SELECT visible)</w:t>
            </w:r>
          </w:p>
        </w:tc>
        <w:tc>
          <w:tcPr>
            <w:tcW w:type="dxa" w:w="1200"/>
            <w:tcBorders>
              <w:top w:val="single" w:color="CCCCCC" w:sz="1"/>
              <w:left w:val="single" w:color="CCCCCC" w:sz="1"/>
              <w:bottom w:val="single" w:color="CCCCCC" w:sz="1"/>
              <w:right w:val="single" w:color="CCCCCC" w:sz="1"/>
            </w:tcBorders>
            <w:shd w:fill="D6EFD8" w:val="clear"/>
            <w:tcMar>
              <w:top w:type="dxa" w:w="80"/>
              <w:left w:type="dxa" w:w="140"/>
              <w:bottom w:type="dxa" w:w="80"/>
              <w:right w:type="dxa" w:w="140"/>
            </w:tcMar>
            <w:vAlign w:val="center"/>
          </w:tcPr>
          <w:p>
            <w:pPr>
              <w:jc w:val="center"/>
            </w:pPr>
            <w:r>
              <w:rPr>
                <w:rFonts w:ascii="Arial" w:cs="Arial" w:eastAsia="Arial" w:hAnsi="Arial"/>
                <w:b/>
                <w:bCs/>
                <w:i w:val="false"/>
                <w:iCs w:val="false"/>
                <w:color w:val="1A6B2A"/>
                <w:sz w:val="19"/>
                <w:szCs w:val="19"/>
              </w:rPr>
              <w:t xml:space="preserve">✅ OK</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Oracle SQL Developer — Fig. 9</w:t>
            </w:r>
          </w:p>
        </w:tc>
      </w:tr>
    </w:tbl>
    <w:p>
      <w:pPr>
        <w:spacing w:after="200"/>
      </w:pPr>
      <w:r>
        <w:t xml:space="preserve"/>
      </w:r>
    </w:p>
    <w:p>
      <w:pPr>
        <w:pStyle w:val="Heading2"/>
        <w:spacing w:after="120" w:before="240"/>
      </w:pPr>
      <w:r>
        <w:rPr>
          <w:rFonts w:ascii="Arial" w:cs="Arial" w:eastAsia="Arial" w:hAnsi="Arial"/>
          <w:b/>
          <w:bCs/>
          <w:color w:val="2E75B6"/>
          <w:sz w:val="26"/>
          <w:szCs w:val="26"/>
        </w:rPr>
        <w:t xml:space="preserve">6.2 Besoins non fonctionnels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2E4057" w:sz="1"/>
              <w:left w:val="single" w:color="2E4057" w:sz="1"/>
              <w:bottom w:val="single" w:color="2E4057" w:sz="1"/>
              <w:right w:val="single" w:color="2E4057" w:sz="1"/>
            </w:tcBorders>
            <w:shd w:fill="1F3864"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Critère</w:t>
            </w:r>
          </w:p>
        </w:tc>
        <w:tc>
          <w:tcPr>
            <w:tcW w:type="dxa" w:w="2400"/>
            <w:tcBorders>
              <w:top w:val="single" w:color="2E4057" w:sz="1"/>
              <w:left w:val="single" w:color="2E4057" w:sz="1"/>
              <w:bottom w:val="single" w:color="2E4057" w:sz="1"/>
              <w:right w:val="single" w:color="2E4057" w:sz="1"/>
            </w:tcBorders>
            <w:shd w:fill="1F3864"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Exigence</w:t>
            </w:r>
          </w:p>
        </w:tc>
        <w:tc>
          <w:tcPr>
            <w:tcW w:type="dxa" w:w="4960"/>
            <w:tcBorders>
              <w:top w:val="single" w:color="2E4057" w:sz="1"/>
              <w:left w:val="single" w:color="2E4057" w:sz="1"/>
              <w:bottom w:val="single" w:color="2E4057" w:sz="1"/>
              <w:right w:val="single" w:color="2E4057" w:sz="1"/>
            </w:tcBorders>
            <w:shd w:fill="1F3864"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Réalisation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Performance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&lt; 3s par page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Requêtes indexées, singleton OCI8, pas de N+1 queries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Sécurité</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Connexion centralisée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connexion.php centralisé, bind variables, .gitignore sur config</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Ergonomie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Bootstrap responsive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Bootstrap 5 + CSS custom sombre, sidebar mobile — Fig. 1 à 8</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Fiabilité</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Intégrité Oracle (PK, FK)</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PK, FK, CHECK, UNIQUE, transactions COMMIT/ROLLBACK</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Maintenabilité</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Code structuré, modulaire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Partials réutilisables, helpers génériques, modules séparés</w:t>
            </w:r>
          </w:p>
        </w:tc>
      </w:tr>
    </w:tbl>
    <w:p>
      <w:pPr>
        <w:spacing w:after="200"/>
      </w:pPr>
      <w:r>
        <w:t xml:space="preserve"/>
      </w:r>
    </w:p>
    <w:p>
      <w:pPr>
        <w:pStyle w:val="Heading1"/>
        <w:spacing w:after="180" w:before="360"/>
      </w:pPr>
      <w:r>
        <w:rPr>
          <w:rFonts w:ascii="Arial" w:cs="Arial" w:eastAsia="Arial" w:hAnsi="Arial"/>
          <w:b/>
          <w:bCs/>
          <w:color w:val="1F3864"/>
          <w:sz w:val="30"/>
          <w:szCs w:val="30"/>
        </w:rPr>
        <w:t xml:space="preserve">7. Difficultés Rencontrées et Solutions</w:t>
      </w:r>
    </w:p>
    <w:p>
      <w:pPr>
        <w:pStyle w:val="Heading2"/>
        <w:spacing w:after="120" w:before="240"/>
      </w:pPr>
      <w:r>
        <w:rPr>
          <w:rFonts w:ascii="Arial" w:cs="Arial" w:eastAsia="Arial" w:hAnsi="Arial"/>
          <w:b/>
          <w:bCs/>
          <w:color w:val="2E75B6"/>
          <w:sz w:val="26"/>
          <w:szCs w:val="26"/>
        </w:rPr>
        <w:t xml:space="preserve">7.1 Connexion OCI8</w:t>
      </w:r>
    </w:p>
    <w:p>
      <w:pPr>
        <w:spacing w:after="120"/>
        <w:jc w:val="both"/>
      </w:pPr>
      <w:r>
        <w:rPr>
          <w:rFonts w:ascii="Arial" w:cs="Arial" w:eastAsia="Arial" w:hAnsi="Arial"/>
          <w:b w:val="false"/>
          <w:bCs w:val="false"/>
          <w:sz w:val="22"/>
          <w:szCs w:val="22"/>
        </w:rPr>
        <w:t xml:space="preserve">La configuration d'Oracle avec l'extension PHP OCI8 est sensible à l'environnement (version Oracle Client, variables NLS_LANG, encodage AL32UTF8). Un mode mock (mock.php) a été mis en place pour permettre le développement frontend en parallèle, avant la disponibilité de l'instance Oracle.</w:t>
      </w:r>
    </w:p>
    <w:p>
      <w:pPr>
        <w:spacing w:after="200"/>
      </w:pPr>
      <w:r>
        <w:t xml:space="preserve"/>
      </w:r>
    </w:p>
    <w:p>
      <w:pPr>
        <w:pStyle w:val="Heading2"/>
        <w:spacing w:after="120" w:before="240"/>
      </w:pPr>
      <w:r>
        <w:rPr>
          <w:rFonts w:ascii="Arial" w:cs="Arial" w:eastAsia="Arial" w:hAnsi="Arial"/>
          <w:b/>
          <w:bCs/>
          <w:color w:val="2E75B6"/>
          <w:sz w:val="26"/>
          <w:szCs w:val="26"/>
        </w:rPr>
        <w:t xml:space="preserve">7.2 Appel de la fonction PL/SQL scalaire</w:t>
      </w:r>
    </w:p>
    <w:p>
      <w:pPr>
        <w:spacing w:after="120"/>
        <w:jc w:val="both"/>
      </w:pPr>
      <w:r>
        <w:rPr>
          <w:rFonts w:ascii="Arial" w:cs="Arial" w:eastAsia="Arial" w:hAnsi="Arial"/>
          <w:b w:val="false"/>
          <w:bCs w:val="false"/>
          <w:sz w:val="22"/>
          <w:szCs w:val="22"/>
        </w:rPr>
        <w:t xml:space="preserve">Contrairement aux procédures, les fonctions PL/SQL à valeur scalaire ne s'appellent pas directement avec oci_parse(). Il a fallu encapsuler l'appel dans un bloc anonyme (BEGIN :result := FNC_NB_INTERVENTIONS(:p_id); END;) et binder la variable de retour en SQLT_INT.</w:t>
      </w:r>
    </w:p>
    <w:p>
      <w:pPr>
        <w:spacing w:after="200"/>
      </w:pPr>
      <w:r>
        <w:t xml:space="preserve"/>
      </w:r>
    </w:p>
    <w:p>
      <w:pPr>
        <w:pStyle w:val="Heading2"/>
        <w:spacing w:after="120" w:before="240"/>
      </w:pPr>
      <w:r>
        <w:rPr>
          <w:rFonts w:ascii="Arial" w:cs="Arial" w:eastAsia="Arial" w:hAnsi="Arial"/>
          <w:b/>
          <w:bCs/>
          <w:color w:val="2E75B6"/>
          <w:sz w:val="26"/>
          <w:szCs w:val="26"/>
        </w:rPr>
        <w:t xml:space="preserve">7.3 Gestion des encodages</w:t>
      </w:r>
    </w:p>
    <w:p>
      <w:pPr>
        <w:spacing w:after="120"/>
        <w:jc w:val="both"/>
      </w:pPr>
      <w:r>
        <w:rPr>
          <w:rFonts w:ascii="Arial" w:cs="Arial" w:eastAsia="Arial" w:hAnsi="Arial"/>
          <w:b w:val="false"/>
          <w:bCs w:val="false"/>
          <w:sz w:val="22"/>
          <w:szCs w:val="22"/>
        </w:rPr>
        <w:t xml:space="preserve">Les accents français (é, è, ê) posaient des problèmes entre l'encodage Oracle (AL32UTF8) et le navigateur. La solution a été de forcer AL32UTF8 à la connexion OCI et de valider les chaînes PHP en UTF-8 systématiquement.</w:t>
      </w:r>
    </w:p>
    <w:p>
      <w:pPr>
        <w:spacing w:after="200"/>
      </w:pPr>
      <w:r>
        <w:t xml:space="preserve"/>
      </w:r>
    </w:p>
    <w:p>
      <w:pPr>
        <w:pStyle w:val="Heading1"/>
        <w:spacing w:after="180" w:before="360"/>
      </w:pPr>
      <w:r>
        <w:rPr>
          <w:rFonts w:ascii="Arial" w:cs="Arial" w:eastAsia="Arial" w:hAnsi="Arial"/>
          <w:b/>
          <w:bCs/>
          <w:color w:val="1F3864"/>
          <w:sz w:val="30"/>
          <w:szCs w:val="30"/>
        </w:rPr>
        <w:t xml:space="preserve">8. Livrables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2E4057" w:sz="1"/>
              <w:left w:val="single" w:color="2E4057" w:sz="1"/>
              <w:bottom w:val="single" w:color="2E4057" w:sz="1"/>
              <w:right w:val="single" w:color="2E4057" w:sz="1"/>
            </w:tcBorders>
            <w:shd w:fill="1F3864"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Livrable</w:t>
            </w:r>
          </w:p>
        </w:tc>
        <w:tc>
          <w:tcPr>
            <w:tcW w:type="dxa" w:w="1400"/>
            <w:tcBorders>
              <w:top w:val="single" w:color="2E4057" w:sz="1"/>
              <w:left w:val="single" w:color="2E4057" w:sz="1"/>
              <w:bottom w:val="single" w:color="2E4057" w:sz="1"/>
              <w:right w:val="single" w:color="2E4057" w:sz="1"/>
            </w:tcBorders>
            <w:shd w:fill="1F3864"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Statut</w:t>
            </w:r>
          </w:p>
        </w:tc>
        <w:tc>
          <w:tcPr>
            <w:tcW w:type="dxa" w:w="4760"/>
            <w:tcBorders>
              <w:top w:val="single" w:color="2E4057" w:sz="1"/>
              <w:left w:val="single" w:color="2E4057" w:sz="1"/>
              <w:bottom w:val="single" w:color="2E4057" w:sz="1"/>
              <w:right w:val="single" w:color="2E4057" w:sz="1"/>
            </w:tcBorders>
            <w:shd w:fill="1F3864"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Détail</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Dossier d'analyse (MCD + MLD)</w:t>
            </w:r>
          </w:p>
        </w:tc>
        <w:tc>
          <w:tcPr>
            <w:tcW w:type="dxa" w:w="1400"/>
            <w:tcBorders>
              <w:top w:val="single" w:color="CCCCCC" w:sz="1"/>
              <w:left w:val="single" w:color="CCCCCC" w:sz="1"/>
              <w:bottom w:val="single" w:color="CCCCCC" w:sz="1"/>
              <w:right w:val="single" w:color="CCCCCC" w:sz="1"/>
            </w:tcBorders>
            <w:shd w:fill="D6EFD8" w:val="clear"/>
            <w:tcMar>
              <w:top w:type="dxa" w:w="80"/>
              <w:left w:type="dxa" w:w="140"/>
              <w:bottom w:type="dxa" w:w="80"/>
              <w:right w:type="dxa" w:w="140"/>
            </w:tcMar>
            <w:vAlign w:val="center"/>
          </w:tcPr>
          <w:p>
            <w:pPr>
              <w:jc w:val="center"/>
            </w:pPr>
            <w:r>
              <w:rPr>
                <w:rFonts w:ascii="Arial" w:cs="Arial" w:eastAsia="Arial" w:hAnsi="Arial"/>
                <w:b/>
                <w:bCs/>
                <w:i w:val="false"/>
                <w:iCs w:val="false"/>
                <w:color w:val="1A6B2A"/>
                <w:sz w:val="19"/>
                <w:szCs w:val="19"/>
              </w:rPr>
              <w:t xml:space="preserve">✅ Remis</w:t>
            </w:r>
          </w:p>
        </w:tc>
        <w:tc>
          <w:tcPr>
            <w:tcW w:type="dxa" w:w="4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Dossier_Analyse_ASINCO_Groupe1.docx</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Scripts SQL complets (DDL + PL/SQL + données)</w:t>
            </w:r>
          </w:p>
        </w:tc>
        <w:tc>
          <w:tcPr>
            <w:tcW w:type="dxa" w:w="1400"/>
            <w:tcBorders>
              <w:top w:val="single" w:color="CCCCCC" w:sz="1"/>
              <w:left w:val="single" w:color="CCCCCC" w:sz="1"/>
              <w:bottom w:val="single" w:color="CCCCCC" w:sz="1"/>
              <w:right w:val="single" w:color="CCCCCC" w:sz="1"/>
            </w:tcBorders>
            <w:shd w:fill="D6EFD8" w:val="clear"/>
            <w:tcMar>
              <w:top w:type="dxa" w:w="80"/>
              <w:left w:type="dxa" w:w="140"/>
              <w:bottom w:type="dxa" w:w="80"/>
              <w:right w:type="dxa" w:w="140"/>
            </w:tcMar>
            <w:vAlign w:val="center"/>
          </w:tcPr>
          <w:p>
            <w:pPr>
              <w:jc w:val="center"/>
            </w:pPr>
            <w:r>
              <w:rPr>
                <w:rFonts w:ascii="Arial" w:cs="Arial" w:eastAsia="Arial" w:hAnsi="Arial"/>
                <w:b/>
                <w:bCs/>
                <w:i w:val="false"/>
                <w:iCs w:val="false"/>
                <w:color w:val="1A6B2A"/>
                <w:sz w:val="19"/>
                <w:szCs w:val="19"/>
              </w:rPr>
              <w:t xml:space="preserve">✅ Remis</w:t>
            </w:r>
          </w:p>
        </w:tc>
        <w:tc>
          <w:tcPr>
            <w:tcW w:type="dxa" w:w="4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database/01_create.sql, 02_plsql.sql, 03_data.sql</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Code source PHP structuré et commenté</w:t>
            </w:r>
          </w:p>
        </w:tc>
        <w:tc>
          <w:tcPr>
            <w:tcW w:type="dxa" w:w="1400"/>
            <w:tcBorders>
              <w:top w:val="single" w:color="CCCCCC" w:sz="1"/>
              <w:left w:val="single" w:color="CCCCCC" w:sz="1"/>
              <w:bottom w:val="single" w:color="CCCCCC" w:sz="1"/>
              <w:right w:val="single" w:color="CCCCCC" w:sz="1"/>
            </w:tcBorders>
            <w:shd w:fill="D6EFD8" w:val="clear"/>
            <w:tcMar>
              <w:top w:type="dxa" w:w="80"/>
              <w:left w:type="dxa" w:w="140"/>
              <w:bottom w:type="dxa" w:w="80"/>
              <w:right w:type="dxa" w:w="140"/>
            </w:tcMar>
            <w:vAlign w:val="center"/>
          </w:tcPr>
          <w:p>
            <w:pPr>
              <w:jc w:val="center"/>
            </w:pPr>
            <w:r>
              <w:rPr>
                <w:rFonts w:ascii="Arial" w:cs="Arial" w:eastAsia="Arial" w:hAnsi="Arial"/>
                <w:b/>
                <w:bCs/>
                <w:i w:val="false"/>
                <w:iCs w:val="false"/>
                <w:color w:val="1A6B2A"/>
                <w:sz w:val="19"/>
                <w:szCs w:val="19"/>
              </w:rPr>
              <w:t xml:space="preserve">✅ Remis</w:t>
            </w:r>
          </w:p>
        </w:tc>
        <w:tc>
          <w:tcPr>
            <w:tcW w:type="dxa" w:w="4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Dossier php/ dans le dépôt GitHub</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Captures d'écran de démonstration</w:t>
            </w:r>
          </w:p>
        </w:tc>
        <w:tc>
          <w:tcPr>
            <w:tcW w:type="dxa" w:w="1400"/>
            <w:tcBorders>
              <w:top w:val="single" w:color="CCCCCC" w:sz="1"/>
              <w:left w:val="single" w:color="CCCCCC" w:sz="1"/>
              <w:bottom w:val="single" w:color="CCCCCC" w:sz="1"/>
              <w:right w:val="single" w:color="CCCCCC" w:sz="1"/>
            </w:tcBorders>
            <w:shd w:fill="D6EFD8" w:val="clear"/>
            <w:tcMar>
              <w:top w:type="dxa" w:w="80"/>
              <w:left w:type="dxa" w:w="140"/>
              <w:bottom w:type="dxa" w:w="80"/>
              <w:right w:type="dxa" w:w="140"/>
            </w:tcMar>
            <w:vAlign w:val="center"/>
          </w:tcPr>
          <w:p>
            <w:pPr>
              <w:jc w:val="center"/>
            </w:pPr>
            <w:r>
              <w:rPr>
                <w:rFonts w:ascii="Arial" w:cs="Arial" w:eastAsia="Arial" w:hAnsi="Arial"/>
                <w:b/>
                <w:bCs/>
                <w:i w:val="false"/>
                <w:iCs w:val="false"/>
                <w:color w:val="1A6B2A"/>
                <w:sz w:val="19"/>
                <w:szCs w:val="19"/>
              </w:rPr>
              <w:t xml:space="preserve">✅ Remis</w:t>
            </w:r>
          </w:p>
        </w:tc>
        <w:tc>
          <w:tcPr>
            <w:tcW w:type="dxa" w:w="4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9 captures intégrées dans ce rapport (Figures 1 à 9)</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Rapport final</w:t>
            </w:r>
          </w:p>
        </w:tc>
        <w:tc>
          <w:tcPr>
            <w:tcW w:type="dxa" w:w="1400"/>
            <w:tcBorders>
              <w:top w:val="single" w:color="CCCCCC" w:sz="1"/>
              <w:left w:val="single" w:color="CCCCCC" w:sz="1"/>
              <w:bottom w:val="single" w:color="CCCCCC" w:sz="1"/>
              <w:right w:val="single" w:color="CCCCCC" w:sz="1"/>
            </w:tcBorders>
            <w:shd w:fill="D6EFD8" w:val="clear"/>
            <w:tcMar>
              <w:top w:type="dxa" w:w="80"/>
              <w:left w:type="dxa" w:w="140"/>
              <w:bottom w:type="dxa" w:w="80"/>
              <w:right w:type="dxa" w:w="140"/>
            </w:tcMar>
            <w:vAlign w:val="center"/>
          </w:tcPr>
          <w:p>
            <w:pPr>
              <w:jc w:val="center"/>
            </w:pPr>
            <w:r>
              <w:rPr>
                <w:rFonts w:ascii="Arial" w:cs="Arial" w:eastAsia="Arial" w:hAnsi="Arial"/>
                <w:b/>
                <w:bCs/>
                <w:i w:val="false"/>
                <w:iCs w:val="false"/>
                <w:color w:val="1A6B2A"/>
                <w:sz w:val="19"/>
                <w:szCs w:val="19"/>
              </w:rPr>
              <w:t xml:space="preserve">✅ Remis</w:t>
            </w:r>
          </w:p>
        </w:tc>
        <w:tc>
          <w:tcPr>
            <w:tcW w:type="dxa" w:w="4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Ce document — version finale avec démonstration complète</w:t>
            </w:r>
          </w:p>
        </w:tc>
      </w:tr>
    </w:tbl>
    <w:p>
      <w:pPr>
        <w:spacing w:after="200"/>
      </w:pPr>
      <w:r>
        <w:t xml:space="preserve"/>
      </w:r>
    </w:p>
    <w:p>
      <w:pPr>
        <w:pStyle w:val="Heading1"/>
        <w:spacing w:after="180" w:before="360"/>
      </w:pPr>
      <w:r>
        <w:rPr>
          <w:rFonts w:ascii="Arial" w:cs="Arial" w:eastAsia="Arial" w:hAnsi="Arial"/>
          <w:b/>
          <w:bCs/>
          <w:color w:val="1F3864"/>
          <w:sz w:val="30"/>
          <w:szCs w:val="30"/>
        </w:rPr>
        <w:t xml:space="preserve">9. Conclusion</w:t>
      </w:r>
    </w:p>
    <w:p>
      <w:pPr>
        <w:spacing w:after="120"/>
        <w:jc w:val="both"/>
      </w:pPr>
      <w:r>
        <w:rPr>
          <w:rFonts w:ascii="Arial" w:cs="Arial" w:eastAsia="Arial" w:hAnsi="Arial"/>
          <w:b w:val="false"/>
          <w:bCs w:val="false"/>
          <w:sz w:val="22"/>
          <w:szCs w:val="22"/>
        </w:rPr>
        <w:t xml:space="preserve">Le projet ASINCO a permis de mettre en pratique l'ensemble de la chaîne de développement full-stack : modélisation relationnelle, implémentation Oracle (SQL + PL/SQL), développement PHP avec accès natif OCI8, et conception d'une interface Bootstrap moderne.</w:t>
      </w:r>
    </w:p>
    <w:p>
      <w:pPr>
        <w:spacing w:after="200"/>
      </w:pPr>
      <w:r>
        <w:t xml:space="preserve"/>
      </w:r>
    </w:p>
    <w:p>
      <w:pPr>
        <w:spacing w:after="120"/>
        <w:jc w:val="both"/>
      </w:pPr>
      <w:r>
        <w:rPr>
          <w:rFonts w:ascii="Arial" w:cs="Arial" w:eastAsia="Arial" w:hAnsi="Arial"/>
          <w:b w:val="false"/>
          <w:bCs w:val="false"/>
          <w:sz w:val="22"/>
          <w:szCs w:val="22"/>
        </w:rPr>
        <w:t xml:space="preserve">Toutes les exigences fonctionnelles du cahier des charges sont couvertes et démontrées par les 9 captures d'écran intégrées dans ce rapport. La procédure PRC_AJOUT_INTERVENTION garantit l'atomicité de la création d'intervention et de la mise à jour d'état, tandis que FNC_NB_INTERVENTIONS expose une métrique métier directement depuis la base Oracle vers l'interface web.</w:t>
      </w:r>
    </w:p>
    <w:p>
      <w:pPr>
        <w:spacing w:after="200"/>
      </w:pPr>
      <w:r>
        <w:t xml:space="preserve"/>
      </w:r>
    </w:p>
    <w:p>
      <w:pPr>
        <w:spacing w:after="120"/>
        <w:jc w:val="both"/>
      </w:pPr>
      <w:r>
        <w:rPr>
          <w:rFonts w:ascii="Arial" w:cs="Arial" w:eastAsia="Arial" w:hAnsi="Arial"/>
          <w:b w:val="false"/>
          <w:bCs w:val="false"/>
          <w:sz w:val="22"/>
          <w:szCs w:val="22"/>
        </w:rPr>
        <w:t xml:space="preserve">Le code est organisé en modules réutilisables, les requêtes utilisent des bind variables pour la sécurité, et le thème visuel offre une expérience utilisateur professionnelle. La capture Oracle SQL Developer (Figure 9) confirme explicitement que les formulaires web mettent bien à jour la base Oracle, conformément à l'exigence de démonstration du cahier des charges.</w:t>
      </w:r>
    </w:p>
    <w:p>
      <w:pPr>
        <w:spacing w:after="200"/>
      </w:pPr>
      <w:r>
        <w:t xml:space="preserve"/>
      </w:r>
    </w:p>
    <w:p>
      <w:pPr>
        <w:pBdr>
          <w:bottom w:val="single" w:color="1F3864" w:sz="8" w:space="1"/>
        </w:pBdr>
        <w:spacing w:after="100" w:before="100"/>
      </w:pPr>
      <w:r>
        <w:t xml:space="preserve"/>
      </w:r>
    </w:p>
    <w:p>
      <w:pPr>
        <w:spacing w:after="200"/>
      </w:pPr>
      <w:r>
        <w:t xml:space="preserve"/>
      </w:r>
    </w:p>
    <w:p>
      <w:pPr>
        <w:spacing w:after="60"/>
        <w:jc w:val="center"/>
      </w:pPr>
      <w:r>
        <w:rPr>
          <w:rFonts w:ascii="Arial" w:cs="Arial" w:eastAsia="Arial" w:hAnsi="Arial"/>
          <w:color w:val="888888"/>
          <w:sz w:val="18"/>
          <w:szCs w:val="18"/>
        </w:rPr>
        <w:t xml:space="preserve">Projet ASINCO — Groupe 1 — Rapport Final v1.0 — Mai 2026</w:t>
      </w:r>
    </w:p>
    <w:p>
      <w:pPr>
        <w:spacing w:after="60"/>
        <w:jc w:val="center"/>
      </w:pPr>
      <w:r>
        <w:rPr>
          <w:rFonts w:ascii="Arial" w:cs="Arial" w:eastAsia="Arial" w:hAnsi="Arial"/>
          <w:color w:val="888888"/>
          <w:sz w:val="18"/>
          <w:szCs w:val="18"/>
        </w:rPr>
        <w:t xml:space="preserve">IFRI — Université d'Abomey-Calavi</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9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d84abfd95ac50af6c4b53eb63383dfd058eecb.png"/><Relationship Id="rId8" Type="http://schemas.openxmlformats.org/officeDocument/2006/relationships/image" Target="media/3fa9730a4ab192e76656b2c7d29cb0a7aa397d7e.png"/><Relationship Id="rId9" Type="http://schemas.openxmlformats.org/officeDocument/2006/relationships/image" Target="media/c1b4198cc14296a0bea40b80c39a7eaecfd87d1f.png"/><Relationship Id="rId10" Type="http://schemas.openxmlformats.org/officeDocument/2006/relationships/image" Target="media/9cd5c889081bd7710c12b0e0dc2db937ff3a419a.png"/><Relationship Id="rId11" Type="http://schemas.openxmlformats.org/officeDocument/2006/relationships/image" Target="media/1baa6781dc502fcff690ef83f6d0cd6ea9a67a68.png"/><Relationship Id="rId12" Type="http://schemas.openxmlformats.org/officeDocument/2006/relationships/image" Target="media/a53dc1d9116b25533e00b9a8c73b9027f39fc606.png"/><Relationship Id="rId13" Type="http://schemas.openxmlformats.org/officeDocument/2006/relationships/image" Target="media/391977e708ed4e60b1e73f3de700ef183398f13f.png"/><Relationship Id="rId14" Type="http://schemas.openxmlformats.org/officeDocument/2006/relationships/image" Target="media/651fadb1e1e4022dd6962d2358561a8e5f9510fa.png"/><Relationship Id="rId15" Type="http://schemas.openxmlformats.org/officeDocument/2006/relationships/image" Target="media/50f9319d51d745d3c0daa76ad2d533515af3fb9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2026-05-09T02:59:46.275Z</dcterms:created>
  <dcterms:modified xsi:type="dcterms:W3CDTF">2026-05-09T02:59:46.291Z</dcterms:modified>
</cp:coreProperties>
</file>

<file path=docProps/custom.xml><?xml version="1.0" encoding="utf-8"?>
<Properties xmlns="http://schemas.openxmlformats.org/officeDocument/2006/custom-properties" xmlns:vt="http://schemas.openxmlformats.org/officeDocument/2006/docPropsVTypes"/>
</file>