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0" w:line="480" w:lineRule="auto"/>
        <w:rPr>
          <w:b w:val="1"/>
          <w:color w:val="003366"/>
          <w:sz w:val="33"/>
          <w:szCs w:val="33"/>
        </w:rPr>
      </w:pPr>
      <w:bookmarkStart w:colFirst="0" w:colLast="0" w:name="_r4twx2ivn3ku" w:id="0"/>
      <w:bookmarkEnd w:id="0"/>
      <w:r w:rsidDel="00000000" w:rsidR="00000000" w:rsidRPr="00000000">
        <w:rPr>
          <w:b w:val="1"/>
          <w:sz w:val="33"/>
          <w:szCs w:val="33"/>
          <w:rtl w:val="0"/>
        </w:rPr>
        <w:t xml:space="preserve">Hero Import Fbx2Unity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80" w:line="338.8235294117647" w:lineRule="auto"/>
        <w:ind w:left="720" w:right="160" w:firstLine="0"/>
        <w:rPr>
          <w:rFonts w:ascii="Verdana" w:cs="Verdana" w:eastAsia="Verdana" w:hAnsi="Verdana"/>
          <w:color w:val="003366"/>
          <w:sz w:val="17"/>
          <w:szCs w:val="17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0f0f0" w:val="clear"/>
        <w:spacing w:after="60" w:before="420" w:lineRule="auto"/>
        <w:ind w:right="160"/>
        <w:rPr>
          <w:b w:val="1"/>
          <w:color w:val="003366"/>
          <w:sz w:val="30"/>
          <w:szCs w:val="30"/>
        </w:rPr>
      </w:pPr>
      <w:bookmarkStart w:colFirst="0" w:colLast="0" w:name="_c2io9prq6yq6" w:id="1"/>
      <w:bookmarkEnd w:id="1"/>
      <w:r w:rsidDel="00000000" w:rsidR="00000000" w:rsidRPr="00000000">
        <w:rPr>
          <w:b w:val="1"/>
          <w:color w:val="003366"/>
          <w:sz w:val="30"/>
          <w:szCs w:val="30"/>
          <w:rtl w:val="0"/>
        </w:rPr>
        <w:t xml:space="preserve">Импорт ассетов в Unity</w:t>
      </w:r>
    </w:p>
    <w:tbl>
      <w:tblPr>
        <w:tblStyle w:val="Table1"/>
        <w:tblW w:w="9360.0" w:type="dxa"/>
        <w:jc w:val="left"/>
        <w:tblBorders>
          <w:top w:color="f0c000" w:space="0" w:sz="6" w:val="single"/>
          <w:left w:color="f0c000" w:space="0" w:sz="6" w:val="single"/>
          <w:bottom w:color="f0c000" w:space="0" w:sz="6" w:val="single"/>
          <w:right w:color="f0c000" w:space="0" w:sz="6" w:val="single"/>
          <w:insideH w:color="f0c000" w:space="0" w:sz="6" w:val="single"/>
          <w:insideV w:color="f0c000" w:space="0" w:sz="6" w:val="single"/>
        </w:tblBorders>
        <w:tblLayout w:type="fixed"/>
        <w:tblLook w:val="0600"/>
      </w:tblPr>
      <w:tblGrid>
        <w:gridCol w:w="205.15068493150687"/>
        <w:gridCol w:w="9154.849315068494"/>
        <w:tblGridChange w:id="0">
          <w:tblGrid>
            <w:gridCol w:w="205.15068493150687"/>
            <w:gridCol w:w="9154.849315068494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Mar>
              <w:top w:w="220.0" w:type="dxa"/>
              <w:left w:w="0.0" w:type="dxa"/>
              <w:bottom w:w="22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after="240" w:before="240" w:line="338.8235294117647" w:lineRule="auto"/>
              <w:ind w:left="300" w:right="460" w:firstLine="0"/>
              <w:rPr>
                <w:rFonts w:ascii="Verdana" w:cs="Verdana" w:eastAsia="Verdana" w:hAnsi="Verdana"/>
                <w:sz w:val="17"/>
                <w:szCs w:val="17"/>
              </w:rPr>
            </w:pPr>
            <w:r w:rsidDel="00000000" w:rsidR="00000000" w:rsidRPr="00000000">
              <w:rPr>
                <w:b w:val="1"/>
                <w:color w:val="003366"/>
                <w:sz w:val="30"/>
                <w:szCs w:val="30"/>
              </w:rPr>
              <w:drawing>
                <wp:inline distB="114300" distT="114300" distL="114300" distR="114300">
                  <wp:extent cx="152400" cy="1524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20.0" w:type="dxa"/>
              <w:left w:w="0.0" w:type="dxa"/>
              <w:bottom w:w="22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after="240" w:before="240" w:line="338.8235294117647" w:lineRule="auto"/>
              <w:ind w:left="300" w:right="460" w:firstLine="0"/>
              <w:rPr>
                <w:rFonts w:ascii="Verdana" w:cs="Verdana" w:eastAsia="Verdana" w:hAnsi="Verdana"/>
                <w:sz w:val="17"/>
                <w:szCs w:val="17"/>
              </w:rPr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rtl w:val="0"/>
              </w:rPr>
              <w:t xml:space="preserve">File Scale = 1</w:t>
            </w:r>
          </w:p>
        </w:tc>
      </w:tr>
    </w:tbl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Переносим папки с FBX и текстурами в Unity путь корень папки Assets/Hero.</w:t>
        <w:br w:type="textWrapping"/>
      </w:r>
      <w:r w:rsidDel="00000000" w:rsidR="00000000" w:rsidRPr="00000000">
        <w:rPr>
          <w:rFonts w:ascii="Verdana" w:cs="Verdana" w:eastAsia="Verdana" w:hAnsi="Verdana"/>
          <w:sz w:val="17"/>
          <w:szCs w:val="17"/>
        </w:rPr>
        <w:drawing>
          <wp:inline distB="114300" distT="114300" distL="114300" distR="114300">
            <wp:extent cx="152400" cy="152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sz w:val="17"/>
          <w:szCs w:val="17"/>
          <w:rtl w:val="0"/>
        </w:rPr>
        <w:t xml:space="preserve">Важно:</w:t>
      </w: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 структуру и нейминг сохраняем оригинальную из репозитория </w:t>
      </w: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pw_art</w:t>
      </w: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!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При импорте Use File Scale и Import Materials снимаем галку материал создаем сами</w:t>
      </w:r>
    </w:p>
    <w:p w:rsidR="00000000" w:rsidDel="00000000" w:rsidP="00000000" w:rsidRDefault="00000000" w:rsidRPr="00000000" w14:paraId="00000008">
      <w:pPr>
        <w:pStyle w:val="Heading5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0f0f0" w:val="clear"/>
        <w:spacing w:after="60" w:before="340" w:lineRule="auto"/>
        <w:ind w:right="160"/>
        <w:rPr>
          <w:b w:val="1"/>
          <w:color w:val="003366"/>
        </w:rPr>
      </w:pPr>
      <w:bookmarkStart w:colFirst="0" w:colLast="0" w:name="_fw5zvfjay3c2" w:id="2"/>
      <w:bookmarkEnd w:id="2"/>
      <w:r w:rsidDel="00000000" w:rsidR="00000000" w:rsidRPr="00000000">
        <w:rPr>
          <w:b w:val="1"/>
          <w:color w:val="003366"/>
          <w:rtl w:val="0"/>
        </w:rPr>
        <w:t xml:space="preserve">Настройка ассета Bind Pose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17"/>
          <w:szCs w:val="17"/>
        </w:rPr>
        <w:drawing>
          <wp:inline distB="114300" distT="114300" distL="114300" distR="114300">
            <wp:extent cx="5581650" cy="75438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54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</w:rPr>
        <w:drawing>
          <wp:inline distB="114300" distT="114300" distL="114300" distR="114300">
            <wp:extent cx="5810250" cy="2000250"/>
            <wp:effectExtent b="0" l="0" r="0" t="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Animation Type выбираем Generic или Humanoid – главное чтобы совпадали типы анимации у Bind Pose и анимации связанной с ней!</w:t>
      </w:r>
    </w:p>
    <w:p w:rsidR="00000000" w:rsidDel="00000000" w:rsidP="00000000" w:rsidRDefault="00000000" w:rsidRPr="00000000" w14:paraId="0000000C">
      <w:pPr>
        <w:pStyle w:val="Heading5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0f0f0" w:val="clear"/>
        <w:spacing w:after="60" w:before="340" w:lineRule="auto"/>
        <w:ind w:right="160"/>
        <w:rPr>
          <w:b w:val="1"/>
          <w:color w:val="003366"/>
        </w:rPr>
      </w:pPr>
      <w:bookmarkStart w:colFirst="0" w:colLast="0" w:name="_wafpcobadi7b" w:id="3"/>
      <w:bookmarkEnd w:id="3"/>
      <w:r w:rsidDel="00000000" w:rsidR="00000000" w:rsidRPr="00000000">
        <w:rPr>
          <w:b w:val="1"/>
          <w:color w:val="003366"/>
          <w:rtl w:val="0"/>
        </w:rPr>
        <w:t xml:space="preserve">Настройка Импорта анимаций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b w:val="1"/>
          <w:color w:val="003366"/>
        </w:rPr>
      </w:pPr>
      <w:r w:rsidDel="00000000" w:rsidR="00000000" w:rsidRPr="00000000">
        <w:rPr>
          <w:b w:val="1"/>
          <w:color w:val="003366"/>
        </w:rPr>
        <w:drawing>
          <wp:inline distB="114300" distT="114300" distL="114300" distR="114300">
            <wp:extent cx="4143375" cy="2352675"/>
            <wp:effectExtent b="0" l="0" r="0" t="0"/>
            <wp:docPr id="1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Аватар берем из бинд позы и драгэндропаем в строку Source: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17"/>
          <w:szCs w:val="17"/>
        </w:rPr>
        <w:drawing>
          <wp:inline distB="114300" distT="114300" distL="114300" distR="114300">
            <wp:extent cx="5943600" cy="14351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sz w:val="17"/>
          <w:szCs w:val="17"/>
        </w:rPr>
        <w:drawing>
          <wp:inline distB="114300" distT="114300" distL="114300" distR="114300">
            <wp:extent cx="4876800" cy="6181725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18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5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0f0f0" w:val="clear"/>
        <w:spacing w:after="60" w:before="340" w:lineRule="auto"/>
        <w:ind w:right="160"/>
        <w:rPr>
          <w:b w:val="1"/>
          <w:color w:val="003366"/>
        </w:rPr>
      </w:pPr>
      <w:bookmarkStart w:colFirst="0" w:colLast="0" w:name="_ejsp7hs8gpue" w:id="4"/>
      <w:bookmarkEnd w:id="4"/>
      <w:r w:rsidDel="00000000" w:rsidR="00000000" w:rsidRPr="00000000">
        <w:rPr>
          <w:b w:val="1"/>
          <w:color w:val="003366"/>
          <w:rtl w:val="0"/>
        </w:rPr>
        <w:t xml:space="preserve">Структура префаба персонажа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Сначала через Create Empty создаем элемент с именем персонажа. Он должен быть в нулевых координатах и без ротейта, на него вешаются все скрипты!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</w:rPr>
        <w:drawing>
          <wp:inline distB="114300" distT="114300" distL="114300" distR="114300">
            <wp:extent cx="1781175" cy="2400300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Внутри создаем Create Empty с названием root – его можно вращать и перемещать на нужное место.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В объект root помещаем персонажа из Bind Pose: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</w:rPr>
        <w:drawing>
          <wp:inline distB="114300" distT="114300" distL="114300" distR="114300">
            <wp:extent cx="2238375" cy="138112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5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0f0f0" w:val="clear"/>
        <w:spacing w:after="60" w:before="340" w:lineRule="auto"/>
        <w:ind w:right="160"/>
        <w:rPr>
          <w:b w:val="1"/>
          <w:color w:val="003366"/>
        </w:rPr>
      </w:pPr>
      <w:bookmarkStart w:colFirst="0" w:colLast="0" w:name="_cwba4axvw824" w:id="5"/>
      <w:bookmarkEnd w:id="5"/>
      <w:r w:rsidDel="00000000" w:rsidR="00000000" w:rsidRPr="00000000">
        <w:rPr>
          <w:b w:val="1"/>
          <w:color w:val="003366"/>
          <w:rtl w:val="0"/>
        </w:rPr>
        <w:t xml:space="preserve">Создание и настройка animation controller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b w:val="1"/>
          <w:color w:val="003366"/>
        </w:rPr>
      </w:pPr>
      <w:r w:rsidDel="00000000" w:rsidR="00000000" w:rsidRPr="00000000">
        <w:rPr>
          <w:b w:val="1"/>
          <w:color w:val="003366"/>
        </w:rPr>
        <w:drawing>
          <wp:inline distB="114300" distT="114300" distL="114300" distR="114300">
            <wp:extent cx="5943600" cy="26924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b w:val="1"/>
          <w:color w:val="003366"/>
        </w:rPr>
        <w:drawing>
          <wp:inline distB="114300" distT="114300" distL="114300" distR="114300">
            <wp:extent cx="152400" cy="152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sz w:val="17"/>
          <w:szCs w:val="17"/>
          <w:rtl w:val="0"/>
        </w:rPr>
        <w:t xml:space="preserve">Важно:</w:t>
      </w: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 Нейминг как в бинд позе!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​​</w:t>
      </w:r>
      <w:r w:rsidDel="00000000" w:rsidR="00000000" w:rsidRPr="00000000">
        <w:rPr>
          <w:rFonts w:ascii="Verdana" w:cs="Verdana" w:eastAsia="Verdana" w:hAnsi="Verdana"/>
          <w:sz w:val="17"/>
          <w:szCs w:val="17"/>
        </w:rPr>
        <w:drawing>
          <wp:inline distB="114300" distT="114300" distL="114300" distR="114300">
            <wp:extent cx="5943600" cy="2324100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Далее переходим в окно аниматора и перетягиваем туда нужные анимации: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</w:rPr>
        <w:drawing>
          <wp:inline distB="114300" distT="114300" distL="114300" distR="114300">
            <wp:extent cx="5943600" cy="26797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5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0f0f0" w:val="clear"/>
        <w:spacing w:after="60" w:before="340" w:lineRule="auto"/>
        <w:ind w:right="160"/>
        <w:rPr>
          <w:b w:val="1"/>
          <w:color w:val="003366"/>
        </w:rPr>
      </w:pPr>
      <w:bookmarkStart w:colFirst="0" w:colLast="0" w:name="_mdqgb4s9zwf0" w:id="6"/>
      <w:bookmarkEnd w:id="6"/>
      <w:r w:rsidDel="00000000" w:rsidR="00000000" w:rsidRPr="00000000">
        <w:rPr>
          <w:b w:val="1"/>
          <w:color w:val="003366"/>
          <w:rtl w:val="0"/>
        </w:rPr>
        <w:t xml:space="preserve">Настраиваем взаимосвязи анимаций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b w:val="1"/>
          <w:color w:val="003366"/>
        </w:rPr>
      </w:pPr>
      <w:r w:rsidDel="00000000" w:rsidR="00000000" w:rsidRPr="00000000">
        <w:rPr>
          <w:b w:val="1"/>
          <w:color w:val="003366"/>
        </w:rPr>
        <w:drawing>
          <wp:inline distB="114300" distT="114300" distL="114300" distR="114300">
            <wp:extent cx="4552950" cy="238125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Настраиваем блендинг анимаций для этого селектим стрелку между тейками: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</w:rPr>
        <w:drawing>
          <wp:inline distB="114300" distT="114300" distL="114300" distR="114300">
            <wp:extent cx="5943600" cy="2197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И в инспекторе ползунками настраиваем плавность переходов!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Добавление контроллера анимации к персонажу: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</w:rPr>
        <w:drawing>
          <wp:inline distB="114300" distT="114300" distL="114300" distR="114300">
            <wp:extent cx="5943600" cy="40640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Если Avatar создается некорректно то имеет смысл использовать Legacy Type анимации: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sz w:val="17"/>
          <w:szCs w:val="17"/>
        </w:rPr>
        <w:drawing>
          <wp:inline distB="114300" distT="114300" distL="114300" distR="114300">
            <wp:extent cx="5200650" cy="162877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У анимации ставим следующие параметры: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</w:rPr>
        <w:drawing>
          <wp:inline distB="114300" distT="114300" distL="114300" distR="114300">
            <wp:extent cx="5114925" cy="485775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У префаба выставляются добавляется компонент Animation: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</w:rPr>
        <w:drawing>
          <wp:inline distB="114300" distT="114300" distL="114300" distR="114300">
            <wp:extent cx="4572000" cy="51530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В поле Size ставим количество нужное для анимации и вставляем нужные анимационные тейки: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</w:rPr>
        <w:drawing>
          <wp:inline distB="114300" distT="114300" distL="114300" distR="114300">
            <wp:extent cx="5143500" cy="362902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Всю интегрированную анимацию и модели проверяем на работоспособность в сцене в режиме Play Mode!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Все папки с текстурами, анимациями и моделями переносим в Assets/Art/Characters/…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</w:rPr>
        <w:drawing>
          <wp:inline distB="114300" distT="114300" distL="114300" distR="114300">
            <wp:extent cx="2324100" cy="46101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br w:type="textWrapping"/>
        <w:t xml:space="preserve">Весь контент к скинам складываем в соответствующие папки внутри корневой папки персонажа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</w:rPr>
        <w:drawing>
          <wp:inline distB="114300" distT="114300" distL="114300" distR="114300">
            <wp:extent cx="4924425" cy="4629150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62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Создаем префаб с именем персонажа через драг енд дроп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</w:rPr>
        <w:drawing>
          <wp:inline distB="114300" distT="114300" distL="114300" distR="114300">
            <wp:extent cx="5943600" cy="25527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br w:type="textWrapping"/>
        <w:t xml:space="preserve">(видео QIP-Shot-Video-010.gif в папке) 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38.8235294117647" w:lineRule="auto"/>
        <w:ind w:right="16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br w:type="textWrapping"/>
        <w:t xml:space="preserve">Все префабы складываем в дерикторию Assets/Resources/Prefabs/Characters/… Структуру папок и нейминг сохраняем оригинальные!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ce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0.png"/><Relationship Id="rId21" Type="http://schemas.openxmlformats.org/officeDocument/2006/relationships/image" Target="media/image13.png"/><Relationship Id="rId24" Type="http://schemas.openxmlformats.org/officeDocument/2006/relationships/image" Target="media/image7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18.png"/><Relationship Id="rId25" Type="http://schemas.openxmlformats.org/officeDocument/2006/relationships/image" Target="media/image20.png"/><Relationship Id="rId28" Type="http://schemas.openxmlformats.org/officeDocument/2006/relationships/image" Target="media/image8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15.png"/><Relationship Id="rId11" Type="http://schemas.openxmlformats.org/officeDocument/2006/relationships/image" Target="media/image19.png"/><Relationship Id="rId10" Type="http://schemas.openxmlformats.org/officeDocument/2006/relationships/image" Target="media/image23.png"/><Relationship Id="rId13" Type="http://schemas.openxmlformats.org/officeDocument/2006/relationships/image" Target="media/image5.png"/><Relationship Id="rId12" Type="http://schemas.openxmlformats.org/officeDocument/2006/relationships/image" Target="media/image14.png"/><Relationship Id="rId15" Type="http://schemas.openxmlformats.org/officeDocument/2006/relationships/image" Target="media/image16.png"/><Relationship Id="rId14" Type="http://schemas.openxmlformats.org/officeDocument/2006/relationships/image" Target="media/image4.png"/><Relationship Id="rId17" Type="http://schemas.openxmlformats.org/officeDocument/2006/relationships/image" Target="media/image11.png"/><Relationship Id="rId16" Type="http://schemas.openxmlformats.org/officeDocument/2006/relationships/image" Target="media/image3.png"/><Relationship Id="rId19" Type="http://schemas.openxmlformats.org/officeDocument/2006/relationships/image" Target="media/image17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