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420" w:lineRule="auto"/>
        <w:rPr>
          <w:b w:val="1"/>
          <w:color w:val="003366"/>
          <w:sz w:val="30"/>
          <w:szCs w:val="30"/>
        </w:rPr>
      </w:pPr>
      <w:bookmarkStart w:colFirst="0" w:colLast="0" w:name="_d12v1lemobds" w:id="0"/>
      <w:bookmarkEnd w:id="0"/>
      <w:r w:rsidDel="00000000" w:rsidR="00000000" w:rsidRPr="00000000">
        <w:rPr>
          <w:b w:val="1"/>
          <w:color w:val="003366"/>
          <w:sz w:val="30"/>
          <w:szCs w:val="30"/>
          <w:rtl w:val="0"/>
        </w:rPr>
        <w:t xml:space="preserve">Экспорт из Maya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Установить последнюю версию FBX плагина из </w:t>
      </w:r>
      <w:hyperlink r:id="rId6">
        <w:r w:rsidDel="00000000" w:rsidR="00000000" w:rsidRPr="00000000">
          <w:rPr>
            <w:rFonts w:ascii="Verdana" w:cs="Verdana" w:eastAsia="Verdana" w:hAnsi="Verdana"/>
            <w:color w:val="003366"/>
            <w:sz w:val="17"/>
            <w:szCs w:val="17"/>
            <w:u w:val="single"/>
            <w:rtl w:val="0"/>
          </w:rPr>
          <w:t xml:space="preserve">fbx-converter-archives</w:t>
        </w:r>
      </w:hyperlink>
      <w:hyperlink r:id="rId7">
        <w:r w:rsidDel="00000000" w:rsidR="00000000" w:rsidRPr="00000000">
          <w:rPr>
            <w:rFonts w:ascii="Verdana" w:cs="Verdana" w:eastAsia="Verdana" w:hAnsi="Verdana"/>
            <w:color w:val="003366"/>
            <w:sz w:val="17"/>
            <w:szCs w:val="17"/>
            <w:u w:val="single"/>
          </w:rPr>
          <w:drawing>
            <wp:inline distB="114300" distT="114300" distL="114300" distR="114300">
              <wp:extent cx="63500" cy="635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340" w:lineRule="auto"/>
        <w:rPr>
          <w:b w:val="1"/>
          <w:color w:val="003366"/>
        </w:rPr>
      </w:pPr>
      <w:bookmarkStart w:colFirst="0" w:colLast="0" w:name="_qhacwaio5kx0" w:id="1"/>
      <w:bookmarkEnd w:id="1"/>
      <w:r w:rsidDel="00000000" w:rsidR="00000000" w:rsidRPr="00000000">
        <w:rPr>
          <w:b w:val="1"/>
          <w:color w:val="003366"/>
          <w:rtl w:val="0"/>
        </w:rPr>
        <w:t xml:space="preserve">Экспорт модели в Bind Pose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38.8235294117647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Селектим joint root в Outliner (см. расположение корневого джоинта у Advansed Skeleton рига на пикче ниже).</w:t>
        <w:br w:type="textWrapping"/>
        <w:t xml:space="preserve">​​</w:t>
      </w: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4400550" cy="43243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8.8235294117647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Далее Edit -&gt; Select all by Type -&gt; joints: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8.8235294117647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если риг не ломает анимации, используем этот метод – он быстрее;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8.8235294117647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если риг не стандартный и анимация ломается, селектим все джоинты вручную в аутлайнере.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38.8235294117647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Далее через Сtrl селектим геометрию.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Затем File -&gt; Export Selection.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Важно: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нейминг и структуру папок сохраняем оригинальную!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Экспортируем со следующими настройками .FBX: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5734050" cy="98393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3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340" w:lineRule="auto"/>
        <w:rPr>
          <w:b w:val="1"/>
          <w:color w:val="003366"/>
        </w:rPr>
      </w:pPr>
      <w:bookmarkStart w:colFirst="0" w:colLast="0" w:name="_kt5cb8qv9nd1" w:id="2"/>
      <w:bookmarkEnd w:id="2"/>
      <w:r w:rsidDel="00000000" w:rsidR="00000000" w:rsidRPr="00000000">
        <w:rPr>
          <w:b w:val="1"/>
          <w:color w:val="003366"/>
          <w:rtl w:val="0"/>
        </w:rPr>
        <w:t xml:space="preserve">Экспорт анимации из Maya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В Outliner селектим character1: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5734050" cy="98393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3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Далее в Trax Editor выбираем File -&gt; Import Animation Clip to Characters: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5943600" cy="3086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Выбираем нужный клип анимации, выставляем на 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фрейм.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Важно: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Клип skinPose удаляем или выносим за диапазон анимации активного клипа!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Далее выставляем начальный и конечный кадр анимации на таймлайн: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5943600" cy="330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Данные о фреймах берем в Trax Editor в анимационном клипе: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5943600" cy="195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Селектим joint root в Outliner, далее Edit -&gt; {{Select all by Type -&gt; joints. Далее запекаем анимацию Edit -&gt; Keys -&gt; BakeSimulation: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4086225" cy="2076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Затем File -&gt; Export Selection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Важно: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нейминг и структуру папок сохраняем оригинальную!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Экспортируем со следующими настройками .FBX: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5695950" cy="982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82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5686425" cy="98964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89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8.8235294117647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Повторяем для каждой необходимой анимации.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cs="Verdana" w:eastAsia="Verdana" w:hAnsi="Verdana"/>
        <w:sz w:val="17"/>
        <w:szCs w:val="1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autodesk.com/developer-network/platform-technologies/fbx-converter-archives" TargetMode="External"/><Relationship Id="rId7" Type="http://schemas.openxmlformats.org/officeDocument/2006/relationships/hyperlink" Target="https://www.autodesk.com/developer-network/platform-technologies/fbx-converter-archiv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