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jc w:val="center"/>
      </w:pPr>
      <w:r>
        <w:rPr>
          <w:rFonts w:ascii="Calibri" w:hAnsi="Calibri"/>
          <w:b/>
          <w:color w:val="D4AF37"/>
          <w:sz w:val="28"/>
        </w:rPr>
        <w:t>UNIVERSITÉ DE DÉVELOPPEMENT D'HAÏTI (UDH)</w:t>
      </w:r>
    </w:p>
    <w:p>
      <w:pPr>
        <w:spacing w:after="80"/>
        <w:jc w:val="center"/>
      </w:pPr>
      <w:r>
        <w:rPr>
          <w:rFonts w:ascii="Calibri" w:hAnsi="Calibri"/>
          <w:b/>
          <w:color w:val="0B1E36"/>
          <w:sz w:val="48"/>
        </w:rPr>
        <w:t>GUIDE D'UTILISATION ET MODE D'EMPLOI COMPLET</w:t>
      </w:r>
    </w:p>
    <w:p>
      <w:pPr>
        <w:spacing w:after="480"/>
        <w:jc w:val="center"/>
      </w:pPr>
      <w:r>
        <w:rPr>
          <w:rFonts w:ascii="Calibri" w:hAnsi="Calibri"/>
          <w:i/>
          <w:color w:val="64748B"/>
          <w:sz w:val="26"/>
        </w:rPr>
        <w:t>Manuel de référence des différents comptes, rôles, modules et options de navigation</w:t>
      </w:r>
    </w:p>
    <w:tbl>
      <w:tblPr>
        <w:tblW w:type="auto" w:w="0"/>
        <w:jc w:val="center"/>
        <w:tblLook w:firstColumn="1" w:firstRow="1" w:lastColumn="0" w:lastRow="0" w:noHBand="0" w:noVBand="1" w:val="04A0"/>
      </w:tblPr>
      <w:tblGrid>
        <w:gridCol w:w="9360"/>
      </w:tblGrid>
      <w:tr>
        <w:tc>
          <w:tcPr>
            <w:tcW w:type="dxa" w:w="9360"/>
            <w:shd w:fill="14166B"/>
          </w:tcPr>
          <w:p>
            <w:pPr>
              <w:spacing w:before="20" w:after="20"/>
            </w:pPr>
          </w:p>
        </w:tc>
      </w:tr>
    </w:tbl>
    <w:p>
      <w:pPr>
        <w:spacing w:before="320" w:after="480"/>
        <w:jc w:val="center"/>
      </w:pPr>
      <w:r>
        <w:rPr>
          <w:b/>
          <w:color w:val="4A5568"/>
          <w:sz w:val="20"/>
        </w:rPr>
        <w:t>Système Universitaire Intégré UDH  |  Version 2.0  |  Édition Officielle</w:t>
      </w:r>
    </w:p>
    <w:p>
      <w:pPr>
        <w:pStyle w:val="Heading1"/>
        <w:keepNext/>
        <w:spacing w:before="280" w:after="80"/>
      </w:pPr>
      <w:r>
        <w:rPr>
          <w:rFonts w:ascii="Calibri" w:hAnsi="Calibri"/>
          <w:b/>
          <w:color w:val="0B1E36"/>
          <w:sz w:val="36"/>
        </w:rPr>
        <w:t>1. Présentation Générale et Structure des Comptes</w:t>
      </w:r>
    </w:p>
    <w:p>
      <w:r>
        <w:t>L'application de gestion universitaire de l'Université de Développement d'Haïti (UDH) est un environnement intégré conçu pour centraliser et automatiser l'ensemble des opérations académiques, pédagogiques, administratives et financières de l'institution. Le système repose sur une gestion des accès par rôles (RBAC - Role-Based Access Control) garantissant la confidentialité, l'intégrité et le cloisonnement strict des données entre les différentes entités.</w:t>
      </w:r>
    </w:p>
    <w:p>
      <w:pPr>
        <w:pStyle w:val="Heading2"/>
        <w:keepNext/>
        <w:spacing w:before="200" w:after="80"/>
      </w:pPr>
      <w:r>
        <w:rPr>
          <w:rFonts w:ascii="Calibri" w:hAnsi="Calibri"/>
          <w:b/>
          <w:color w:val="14166B"/>
          <w:sz w:val="28"/>
        </w:rPr>
        <w:t>1.1 Synthèse des Rôles et Niveaux d'Accès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0B1E36"/>
            <w:tcMar>
              <w:top w:w="120" w:type="dxa"/>
              <w:bottom w:w="120" w:type="dxa"/>
              <w:left w:w="140" w:type="dxa"/>
              <w:right w:w="140" w:type="dxa"/>
            </w:tcMar>
          </w:tcPr>
          <w:p>
            <w:pPr>
              <w:spacing w:before="40" w:after="40"/>
              <w:jc w:val="left"/>
            </w:pPr>
            <w:r>
              <w:rPr>
                <w:rFonts w:ascii="Calibri" w:hAnsi="Calibri"/>
                <w:b/>
                <w:color w:val="FFFFFF"/>
                <w:sz w:val="20"/>
              </w:rPr>
              <w:t>Type de Compte</w:t>
            </w:r>
          </w:p>
        </w:tc>
        <w:tc>
          <w:tcPr>
            <w:tcW w:type="dxa" w:w="2160"/>
            <w:shd w:fill="0B1E36"/>
            <w:tcMar>
              <w:top w:w="120" w:type="dxa"/>
              <w:bottom w:w="120" w:type="dxa"/>
              <w:left w:w="140" w:type="dxa"/>
              <w:right w:w="140" w:type="dxa"/>
            </w:tcMar>
          </w:tcPr>
          <w:p>
            <w:pPr>
              <w:spacing w:before="40" w:after="40"/>
              <w:jc w:val="left"/>
            </w:pPr>
            <w:r>
              <w:rPr>
                <w:rFonts w:ascii="Calibri" w:hAnsi="Calibri"/>
                <w:b/>
                <w:color w:val="FFFFFF"/>
                <w:sz w:val="20"/>
              </w:rPr>
              <w:t>Profil / Poste</w:t>
            </w:r>
          </w:p>
        </w:tc>
        <w:tc>
          <w:tcPr>
            <w:tcW w:type="dxa" w:w="2016"/>
            <w:shd w:fill="0B1E36"/>
            <w:tcMar>
              <w:top w:w="120" w:type="dxa"/>
              <w:bottom w:w="120" w:type="dxa"/>
              <w:left w:w="140" w:type="dxa"/>
              <w:right w:w="140" w:type="dxa"/>
            </w:tcMar>
          </w:tcPr>
          <w:p>
            <w:pPr>
              <w:spacing w:before="40" w:after="40"/>
              <w:jc w:val="left"/>
            </w:pPr>
            <w:r>
              <w:rPr>
                <w:rFonts w:ascii="Calibri" w:hAnsi="Calibri"/>
                <w:b/>
                <w:color w:val="FFFFFF"/>
                <w:sz w:val="20"/>
              </w:rPr>
              <w:t>Public Cible</w:t>
            </w:r>
          </w:p>
        </w:tc>
        <w:tc>
          <w:tcPr>
            <w:tcW w:type="dxa" w:w="3312"/>
            <w:shd w:fill="0B1E36"/>
            <w:tcMar>
              <w:top w:w="120" w:type="dxa"/>
              <w:bottom w:w="120" w:type="dxa"/>
              <w:left w:w="140" w:type="dxa"/>
              <w:right w:w="140" w:type="dxa"/>
            </w:tcMar>
          </w:tcPr>
          <w:p>
            <w:pPr>
              <w:spacing w:before="40" w:after="40"/>
              <w:jc w:val="left"/>
            </w:pPr>
            <w:r>
              <w:rPr>
                <w:rFonts w:ascii="Calibri" w:hAnsi="Calibri"/>
                <w:b/>
                <w:color w:val="FFFFFF"/>
                <w:sz w:val="20"/>
              </w:rPr>
              <w:t>Prérogatives Principales</w:t>
            </w:r>
          </w:p>
        </w:tc>
      </w:tr>
      <w:tr>
        <w:tc>
          <w:tcPr>
            <w:tcW w:type="dxa" w:w="1872"/>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Étudiant</w:t>
            </w:r>
          </w:p>
        </w:tc>
        <w:tc>
          <w:tcPr>
            <w:tcW w:type="dxa" w:w="216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Étudiant inscrit</w:t>
            </w:r>
          </w:p>
        </w:tc>
        <w:tc>
          <w:tcPr>
            <w:tcW w:type="dxa" w:w="2016"/>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Étudiants de toutes facultés</w:t>
            </w:r>
          </w:p>
        </w:tc>
        <w:tc>
          <w:tcPr>
            <w:tcW w:type="dxa" w:w="3312"/>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Consultation des cours, notes, emploi du temps, paiements, attestations, annonces &amp; support.</w:t>
            </w:r>
          </w:p>
        </w:tc>
      </w:tr>
      <w:tr>
        <w:tc>
          <w:tcPr>
            <w:tcW w:type="dxa" w:w="1872"/>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Professeur</w:t>
            </w:r>
          </w:p>
        </w:tc>
        <w:tc>
          <w:tcPr>
            <w:tcW w:type="dxa" w:w="216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Enseignant titulaire / vacataire</w:t>
            </w:r>
          </w:p>
        </w:tc>
        <w:tc>
          <w:tcPr>
            <w:tcW w:type="dxa" w:w="2016"/>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Corps professoral</w:t>
            </w:r>
          </w:p>
        </w:tc>
        <w:tc>
          <w:tcPr>
            <w:tcW w:type="dxa" w:w="3312"/>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Saisie &amp; modification des notes, upload des épreuves &amp; présences, suivi salarial, cours assignés.</w:t>
            </w:r>
          </w:p>
        </w:tc>
      </w:tr>
      <w:tr>
        <w:tc>
          <w:tcPr>
            <w:tcW w:type="dxa" w:w="1872"/>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Administrateur</w:t>
            </w:r>
          </w:p>
        </w:tc>
        <w:tc>
          <w:tcPr>
            <w:tcW w:type="dxa" w:w="216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Recteur</w:t>
            </w:r>
          </w:p>
        </w:tc>
        <w:tc>
          <w:tcPr>
            <w:tcW w:type="dxa" w:w="2016"/>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Haute Direction Académique</w:t>
            </w:r>
          </w:p>
        </w:tc>
        <w:tc>
          <w:tcPr>
            <w:tcW w:type="dxa" w:w="3312"/>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Vue d'ensemble globale, gestion &amp; nomination des membres, validation académique, gestion des facultés, finances.</w:t>
            </w:r>
          </w:p>
        </w:tc>
      </w:tr>
      <w:tr>
        <w:tc>
          <w:tcPr>
            <w:tcW w:type="dxa" w:w="1872"/>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Administrateur</w:t>
            </w:r>
          </w:p>
        </w:tc>
        <w:tc>
          <w:tcPr>
            <w:tcW w:type="dxa" w:w="216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Président du Conseil</w:t>
            </w:r>
          </w:p>
        </w:tc>
        <w:tc>
          <w:tcPr>
            <w:tcW w:type="dxa" w:w="2016"/>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Gouvernance &amp; Conseil</w:t>
            </w:r>
          </w:p>
        </w:tc>
        <w:tc>
          <w:tcPr>
            <w:tcW w:type="dxa" w:w="3312"/>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Conseil d'administration, supervision du système &amp; audit, rapports graphiques financiers, suivi du rectorat.</w:t>
            </w:r>
          </w:p>
        </w:tc>
      </w:tr>
      <w:tr>
        <w:tc>
          <w:tcPr>
            <w:tcW w:type="dxa" w:w="1872"/>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Administrateur</w:t>
            </w:r>
          </w:p>
        </w:tc>
        <w:tc>
          <w:tcPr>
            <w:tcW w:type="dxa" w:w="216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Secrétaire de l'administration</w:t>
            </w:r>
          </w:p>
        </w:tc>
        <w:tc>
          <w:tcPr>
            <w:tcW w:type="dxa" w:w="2016"/>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Secrétariat Général</w:t>
            </w:r>
          </w:p>
        </w:tc>
        <w:tc>
          <w:tcPr>
            <w:tcW w:type="dxa" w:w="3312"/>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Gestion du courrier (3 flux), rendez-vous &amp; réunions de comité, validation des inscriptions, transfert des notes, salaires.</w:t>
            </w:r>
          </w:p>
        </w:tc>
      </w:tr>
      <w:tr>
        <w:tc>
          <w:tcPr>
            <w:tcW w:type="dxa" w:w="1872"/>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Administrateur</w:t>
            </w:r>
          </w:p>
        </w:tc>
        <w:tc>
          <w:tcPr>
            <w:tcW w:type="dxa" w:w="216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Coordonnateur de Faculté</w:t>
            </w:r>
          </w:p>
        </w:tc>
        <w:tc>
          <w:tcPr>
            <w:tcW w:type="dxa" w:w="2016"/>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Doyens / Coordonnateurs</w:t>
            </w:r>
          </w:p>
        </w:tc>
        <w:tc>
          <w:tcPr>
            <w:tcW w:type="dxa" w:w="3312"/>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Isolation stricte par faculté assignée : étudiants, professeurs, matières, emplois du temps et résultats de sa faculté.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BEBEB"/>
            <w:tcMar>
              <w:top w:w="140" w:type="dxa"/>
              <w:bottom w:w="140" w:type="dxa"/>
              <w:left w:w="200" w:type="dxa"/>
              <w:right w:w="200" w:type="dxa"/>
            </w:tcMar>
            <w:tcBorders>
              <w:left w:val="single" w:sz="24" w:space="0" w:color="C53030"/>
              <w:top w:val="nil" w:sz="4" w:space="0" w:color="auto"/>
              <w:right w:val="nil" w:sz="4" w:space="0" w:color="auto"/>
              <w:bottom w:val="nil" w:sz="4" w:space="0" w:color="auto"/>
            </w:tcBorders>
          </w:tcPr>
          <w:p>
            <w:pPr>
              <w:spacing w:before="40" w:after="80"/>
            </w:pPr>
            <w:r>
              <w:rPr>
                <w:rFonts w:ascii="Calibri" w:hAnsi="Calibri"/>
                <w:b/>
                <w:color w:val="C53030"/>
                <w:sz w:val="21"/>
              </w:rPr>
              <w:t>🔒 PRINCIPE D'ISOLATION ET DE SÉCURITÉ</w:t>
              <w:br/>
            </w:r>
            <w:r>
              <w:rPr>
                <w:rFonts w:ascii="Calibri" w:hAnsi="Calibri"/>
                <w:color w:val="2D3748"/>
                <w:sz w:val="20"/>
              </w:rPr>
              <w:t>Le système applique une politique d'isolation rigoureuse des données (module IsolationFaculteUtils). Un coordonnateur de faculté ne peut en aucun cas visualiser ou modifier les étudiants, notes ou cours d'une autre faculté que celle qui lui a été officiellement assignée.</w:t>
            </w:r>
          </w:p>
        </w:tc>
      </w:tr>
    </w:tbl>
    <w:p>
      <w:pPr>
        <w:spacing w:before="0" w:after="120"/>
      </w:pPr>
    </w:p>
    <w:p>
      <w:pPr>
        <w:pStyle w:val="Heading1"/>
        <w:keepNext/>
        <w:spacing w:before="280" w:after="80"/>
      </w:pPr>
      <w:r>
        <w:rPr>
          <w:rFonts w:ascii="Calibri" w:hAnsi="Calibri"/>
          <w:b/>
          <w:color w:val="0B1E36"/>
          <w:sz w:val="36"/>
        </w:rPr>
        <w:t>2. Écran d'Accueil et Procédure de Connexion</w:t>
      </w:r>
    </w:p>
    <w:p>
      <w:r>
        <w:t>Au lancement de l'application, l'utilisateur est accueilli par la page principale unifiée (Landing Window) arborant le logo officiel et les couleurs institutionnelles de l'UDH. Cette interface centralise l'aiguillage vers les trois grands espaces de connexion.</w:t>
      </w:r>
    </w:p>
    <w:p>
      <w:pPr>
        <w:pStyle w:val="Heading2"/>
        <w:keepNext/>
        <w:spacing w:before="200" w:after="80"/>
      </w:pPr>
      <w:r>
        <w:rPr>
          <w:rFonts w:ascii="Calibri" w:hAnsi="Calibri"/>
          <w:b/>
          <w:color w:val="14166B"/>
          <w:sz w:val="28"/>
        </w:rPr>
        <w:t>2.1 Sélection du Rôle d'Accès</w:t>
      </w:r>
    </w:p>
    <w:p>
      <w:r>
        <w:t>Un menu déroulant central interactif (« Connectez-vous en tant que ») propose trois options d'authentification :</w:t>
      </w:r>
    </w:p>
    <w:p>
      <w:pPr>
        <w:pStyle w:val="ListBullet"/>
      </w:pPr>
      <w:r>
        <w:t>• 🎓 Étudiant : Redirige vers la fenêtre d'authentification étudiante (StudentAuthWindow).</w:t>
      </w:r>
    </w:p>
    <w:p>
      <w:pPr>
        <w:pStyle w:val="ListBullet"/>
      </w:pPr>
      <w:r>
        <w:t>• 👨‍🏫 Professeur : Redirige vers le portail d'accès réservé aux enseignants (TeacherAuthWindow).</w:t>
      </w:r>
    </w:p>
    <w:p>
      <w:pPr>
        <w:pStyle w:val="ListBullet"/>
      </w:pPr>
      <w:r>
        <w:t>• 🛡️ Administrateur : Ouvre la passerelle d'accès administratif (AdminAuthWindow).</w:t>
      </w:r>
    </w:p>
    <w:p>
      <w:pPr>
        <w:pStyle w:val="Heading2"/>
        <w:keepNext/>
        <w:spacing w:before="200" w:after="80"/>
      </w:pPr>
      <w:r>
        <w:rPr>
          <w:rFonts w:ascii="Calibri" w:hAnsi="Calibri"/>
          <w:b/>
          <w:color w:val="14166B"/>
          <w:sz w:val="28"/>
        </w:rPr>
        <w:t>2.2 Authentification et Inscription des Étudiants</w:t>
      </w:r>
    </w:p>
    <w:p>
      <w:r>
        <w:t>Pour les étudiants, la fenêtre de connexion offre deux parcours distincts :</w:t>
      </w:r>
    </w:p>
    <w:p>
      <w:pPr>
        <w:pStyle w:val="ListBullet"/>
      </w:pPr>
      <w:r>
        <w:t>1. Connexion directe : Saisie de l'Identifiant Étudiant (ID) et du mot de passe associé.</w:t>
      </w:r>
    </w:p>
    <w:p>
      <w:pPr>
        <w:pStyle w:val="ListBullet"/>
      </w:pPr>
      <w:r>
        <w:t>2. Nouvelle Inscription (Registration Dialog) : Les nouveaux candidats peuvent remplir un dossier d'inscription complet comprenant :</w:t>
      </w:r>
    </w:p>
    <w:p>
      <w:pPr>
        <w:pStyle w:val="ListBullet"/>
      </w:pPr>
      <w:r>
        <w:t xml:space="preserve">   - Identité : Nom, prénom, date de naissance, lieu de naissance, sexe, nationalité.</w:t>
      </w:r>
    </w:p>
    <w:p>
      <w:pPr>
        <w:pStyle w:val="ListBullet"/>
      </w:pPr>
      <w:r>
        <w:t xml:space="preserve">   - Coordonnées : Adresse complète, téléphone, adresse email valide.</w:t>
      </w:r>
    </w:p>
    <w:p>
      <w:pPr>
        <w:pStyle w:val="ListBullet"/>
      </w:pPr>
      <w:r>
        <w:t xml:space="preserve">   - Personne de contact : Nom, prénom, lien de parenté et numéro de téléphone du tuteur/proche.</w:t>
      </w:r>
    </w:p>
    <w:p>
      <w:pPr>
        <w:pStyle w:val="ListBullet"/>
      </w:pPr>
      <w:r>
        <w:t xml:space="preserve">   - Faculté et Programme : Choix de la faculté d'accueil et du cycle d'études.</w:t>
      </w:r>
    </w:p>
    <w:p>
      <w:pPr>
        <w:pStyle w:val="ListBullet"/>
      </w:pPr>
      <w:r>
        <w:t xml:space="preserve">   - Pièces jointes / Dossier : Diplômes antérieurs, relevés du baccalauréat, pièce d'identité.</w:t>
      </w:r>
    </w:p>
    <w:tbl>
      <w:tblPr>
        <w:tblW w:type="auto" w:w="0"/>
        <w:jc w:val="center"/>
        <w:tblLook w:firstColumn="1" w:firstRow="1" w:lastColumn="0" w:lastRow="0" w:noHBand="0" w:noVBand="1" w:val="04A0"/>
      </w:tblPr>
      <w:tblGrid>
        <w:gridCol w:w="9360"/>
      </w:tblGrid>
      <w:tr>
        <w:tc>
          <w:tcPr>
            <w:tcW w:type="dxa" w:w="9360"/>
            <w:shd w:fill="FFF8E6"/>
            <w:tcMar>
              <w:top w:w="140" w:type="dxa"/>
              <w:bottom w:w="140" w:type="dxa"/>
              <w:left w:w="200" w:type="dxa"/>
              <w:right w:w="200" w:type="dxa"/>
            </w:tcMar>
            <w:tcBorders>
              <w:left w:val="single" w:sz="24" w:space="0" w:color="D4AF37"/>
              <w:top w:val="nil" w:sz="4" w:space="0" w:color="auto"/>
              <w:right w:val="nil" w:sz="4" w:space="0" w:color="auto"/>
              <w:bottom w:val="nil" w:sz="4" w:space="0" w:color="auto"/>
            </w:tcBorders>
          </w:tcPr>
          <w:p>
            <w:pPr>
              <w:spacing w:before="40" w:after="80"/>
            </w:pPr>
            <w:r>
              <w:rPr>
                <w:rFonts w:ascii="Calibri" w:hAnsi="Calibri"/>
                <w:b/>
                <w:color w:val="B48214"/>
                <w:sz w:val="21"/>
              </w:rPr>
              <w:t>⚠️ STATUT DU COMPTE ÉTUDIANT</w:t>
              <w:br/>
            </w:r>
            <w:r>
              <w:rPr>
                <w:rFonts w:ascii="Calibri" w:hAnsi="Calibri"/>
                <w:color w:val="2D3748"/>
                <w:sz w:val="20"/>
              </w:rPr>
              <w:t>Lors de la soumission d'une nouvelle inscription, le compte étudiant est créé avec le statut « En attente ». L'étudiant ne pourra accéder à l'ensemble des modules qu'après examen et validation définitive de son dossier par le Secrétariat Général ou le Rectorat via le module de validation des inscriptions.</w:t>
            </w:r>
          </w:p>
        </w:tc>
      </w:tr>
    </w:tbl>
    <w:p>
      <w:pPr>
        <w:spacing w:before="0" w:after="120"/>
      </w:pPr>
    </w:p>
    <w:p>
      <w:pPr>
        <w:pStyle w:val="Heading2"/>
        <w:keepNext/>
        <w:spacing w:before="200" w:after="80"/>
      </w:pPr>
      <w:r>
        <w:rPr>
          <w:rFonts w:ascii="Calibri" w:hAnsi="Calibri"/>
          <w:b/>
          <w:color w:val="14166B"/>
          <w:sz w:val="28"/>
        </w:rPr>
        <w:t>2.3 Authentification Enseignant et Administrateur</w:t>
      </w:r>
    </w:p>
    <w:p>
      <w:r>
        <w:t>• Espace Enseignant : Saisie de l'identifiant professeur (ou email) et du mot de passe.</w:t>
        <w:br/>
        <w:t>• Espace Administrateur : L'administrateur saisit son identifiant et son mot de passe. Le système détecte automatiquement le poste officiel (Recteur, Président, Secrétaire, Coordonnateur) et génère dynamiquement le tableau de bord avec les autorisations et menus correspondants.</w:t>
      </w:r>
    </w:p>
    <w:p>
      <w:pPr>
        <w:pStyle w:val="Heading1"/>
        <w:keepNext/>
        <w:spacing w:before="280" w:after="80"/>
      </w:pPr>
      <w:r>
        <w:rPr>
          <w:rFonts w:ascii="Calibri" w:hAnsi="Calibri"/>
          <w:b/>
          <w:color w:val="0B1E36"/>
          <w:sz w:val="36"/>
        </w:rPr>
        <w:t>3. Manuel de l'Espace Étudiant (Portail Étudiant)</w:t>
      </w:r>
    </w:p>
    <w:p>
      <w:r>
        <w:t>Le portail étudiant fournit une vue complète à 360 degrés sur la scolarité de l'apprenant. La barre latérale gauche (Sidebar) offre une navigation fluide entre les différentes fonctionnalités.</w:t>
      </w:r>
    </w:p>
    <w:tbl>
      <w:tblPr>
        <w:tblW w:type="auto" w:w="0"/>
        <w:jc w:val="center"/>
        <w:tblLayout w:type="fixed"/>
        <w:tblLook w:firstColumn="1" w:firstRow="1" w:lastColumn="0" w:lastRow="0" w:noHBand="0" w:noVBand="1" w:val="04A0"/>
      </w:tblPr>
      <w:tblGrid>
        <w:gridCol w:w="4680"/>
        <w:gridCol w:w="4680"/>
      </w:tblGrid>
      <w:tr>
        <w:tc>
          <w:tcPr>
            <w:tcW w:type="dxa" w:w="2880"/>
            <w:shd w:fill="0B1E36"/>
            <w:tcMar>
              <w:top w:w="120" w:type="dxa"/>
              <w:bottom w:w="120" w:type="dxa"/>
              <w:left w:w="140" w:type="dxa"/>
              <w:right w:w="140" w:type="dxa"/>
            </w:tcMar>
          </w:tcPr>
          <w:p>
            <w:pPr>
              <w:spacing w:before="40" w:after="40"/>
              <w:jc w:val="left"/>
            </w:pPr>
            <w:r>
              <w:rPr>
                <w:rFonts w:ascii="Calibri" w:hAnsi="Calibri"/>
                <w:b/>
                <w:color w:val="FFFFFF"/>
                <w:sz w:val="20"/>
              </w:rPr>
              <w:t>Option de Menu</w:t>
            </w:r>
          </w:p>
        </w:tc>
        <w:tc>
          <w:tcPr>
            <w:tcW w:type="dxa" w:w="6480"/>
            <w:shd w:fill="0B1E36"/>
            <w:tcMar>
              <w:top w:w="120" w:type="dxa"/>
              <w:bottom w:w="120" w:type="dxa"/>
              <w:left w:w="140" w:type="dxa"/>
              <w:right w:w="140" w:type="dxa"/>
            </w:tcMar>
          </w:tcPr>
          <w:p>
            <w:pPr>
              <w:spacing w:before="40" w:after="40"/>
              <w:jc w:val="left"/>
            </w:pPr>
            <w:r>
              <w:rPr>
                <w:rFonts w:ascii="Calibri" w:hAnsi="Calibri"/>
                <w:b/>
                <w:color w:val="FFFFFF"/>
                <w:sz w:val="20"/>
              </w:rPr>
              <w:t>Description Fonctionnelle Détaillée</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Tableau de bord</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Vue d'ensemble synthétique : moyenne générale, nombre de cours inscrits, état des versements, cours du jour et dernières alertes.</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Profil</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Fiche signalétique complète de l'étudiant : matricule, faculté, niveau d'études, coordonnées personnelles et informations du tuteur.</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Cours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Liste détaillée de l'ensemble des matières du programme d'études, crédits horaires, syllabus et noms des professeurs assignés.</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Résultats</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Relevé de notes interactif par session et matière, coefficients appliqués, mentions obtenues et calcul automatique de la moyenne cumulée.</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Emploi du temps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Grille horaire hebdomadaire affichant les plages de cours, les salles attribuées, les laboratoires et les créneaux magistraux.</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Annonces</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Tableau d'affichage numérique des avis universitaires, communiqués officiels de l'administration et notes de la faculté avec compteur de non-lues.</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Événements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Calendrier académique officiel : dates des sessions d'examens, congés universitaires, soutenances et conférences scientifiques.</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Payer un versement</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Module financier : historique des paiements effectués, montants dus, enregistrement d'un nouveau versement avec reçu numérique.</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Téléchargements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Espace de téléchargement des documents académiques : attestations d'inscription, relevés provisoires, règlements intérieurs.</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Support</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Centre d'assistance technique et pédagogique : création de tickets d'assistance, questions administratives et messagerie avec le support.</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Paramètres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Gestion des préférences : mise à jour des numéros de téléphone, adresse email, mot de passe et contact d'urgence.</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Déconnexion</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Fermeture sécurisée de la session active et retour à l'écran d'accueil.</w:t>
            </w:r>
          </w:p>
        </w:tc>
      </w:tr>
    </w:tbl>
    <w:p>
      <w:pPr>
        <w:spacing w:before="0" w:after="120"/>
      </w:pPr>
    </w:p>
    <w:p>
      <w:pPr>
        <w:pStyle w:val="Heading2"/>
        <w:keepNext/>
        <w:spacing w:before="200" w:after="80"/>
      </w:pPr>
      <w:r>
        <w:rPr>
          <w:rFonts w:ascii="Calibri" w:hAnsi="Calibri"/>
          <w:b/>
          <w:color w:val="14166B"/>
          <w:sz w:val="28"/>
        </w:rPr>
        <w:t>3.1 Focus sur le Paiement des Frais de Scolarité</w:t>
      </w:r>
    </w:p>
    <w:p>
      <w:r>
        <w:t>Le module « Payer un versement » permet à l'étudiant de suivre rigoureusement son solde financier. L'écran affiche le montant total annuel, le total déjà versé et le solde restant. L'étudiant peut renseigner la référence du bordereau bancaire, le montant payé, la date et joindre une photo du récépissé. Dès validation par la comptabilité, le reçu officiel est généré avec un numéro de transaction unique.</w:t>
      </w:r>
    </w:p>
    <w:p>
      <w:pPr>
        <w:pStyle w:val="Heading1"/>
        <w:keepNext/>
        <w:spacing w:before="280" w:after="80"/>
      </w:pPr>
      <w:r>
        <w:rPr>
          <w:rFonts w:ascii="Calibri" w:hAnsi="Calibri"/>
          <w:b/>
          <w:color w:val="0B1E36"/>
          <w:sz w:val="36"/>
        </w:rPr>
        <w:t>4. Manuel de l'Espace Professeur (Portail Enseignant)</w:t>
      </w:r>
    </w:p>
    <w:p>
      <w:r>
        <w:t>L'espace enseignant est conçu pour décharger les professeurs des tâches administratives répétitives et leur permettre de se concentrer sur l'encadrement pédagogique, la notation et le suivi de leurs étudiants.</w:t>
      </w:r>
    </w:p>
    <w:tbl>
      <w:tblPr>
        <w:tblW w:type="auto" w:w="0"/>
        <w:jc w:val="center"/>
        <w:tblLayout w:type="fixed"/>
        <w:tblLook w:firstColumn="1" w:firstRow="1" w:lastColumn="0" w:lastRow="0" w:noHBand="0" w:noVBand="1" w:val="04A0"/>
      </w:tblPr>
      <w:tblGrid>
        <w:gridCol w:w="4680"/>
        <w:gridCol w:w="4680"/>
      </w:tblGrid>
      <w:tr>
        <w:tc>
          <w:tcPr>
            <w:tcW w:type="dxa" w:w="2880"/>
            <w:shd w:fill="0B1E36"/>
            <w:tcMar>
              <w:top w:w="120" w:type="dxa"/>
              <w:bottom w:w="120" w:type="dxa"/>
              <w:left w:w="140" w:type="dxa"/>
              <w:right w:w="140" w:type="dxa"/>
            </w:tcMar>
          </w:tcPr>
          <w:p>
            <w:pPr>
              <w:spacing w:before="40" w:after="40"/>
              <w:jc w:val="left"/>
            </w:pPr>
            <w:r>
              <w:rPr>
                <w:rFonts w:ascii="Calibri" w:hAnsi="Calibri"/>
                <w:b/>
                <w:color w:val="FFFFFF"/>
                <w:sz w:val="20"/>
              </w:rPr>
              <w:t>Option de Menu</w:t>
            </w:r>
          </w:p>
        </w:tc>
        <w:tc>
          <w:tcPr>
            <w:tcW w:type="dxa" w:w="6480"/>
            <w:shd w:fill="0B1E36"/>
            <w:tcMar>
              <w:top w:w="120" w:type="dxa"/>
              <w:bottom w:w="120" w:type="dxa"/>
              <w:left w:w="140" w:type="dxa"/>
              <w:right w:w="140" w:type="dxa"/>
            </w:tcMar>
          </w:tcPr>
          <w:p>
            <w:pPr>
              <w:spacing w:before="40" w:after="40"/>
              <w:jc w:val="left"/>
            </w:pPr>
            <w:r>
              <w:rPr>
                <w:rFonts w:ascii="Calibri" w:hAnsi="Calibri"/>
                <w:b/>
                <w:color w:val="FFFFFF"/>
                <w:sz w:val="20"/>
              </w:rPr>
              <w:t>Description Fonctionnelle Détaillée</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Tableau de bord</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Cartes statistiques de performance (StatCards) : total des matières enseignées, nombre de notes enregistrées, copies d'examens archivées.</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Profil</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Informations académiques et administratives de l'enseignant, département de rattachement, grade et coordonnées.</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Mes matières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Visualisation des cours attribués pour l'année universitaire en cours, volume horaire et effectifs d'étudiants par classe.</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Emploi du temps</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Planning hebdomadaire personnalisé indiquant les cours, les horaires, les auditoires et les salles de travaux dirigés.</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Attribuer une note</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Formulaire de saisie des notes par sélection de la matière, saisie du matricule étudiant, type d'évaluation (contrôle, partiel, examen) et note sur 100.</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Consulter les notes</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Tableau récapitulatif complet des notes saisies par cours avec filtres de recherche, options d'édition et statut de validation.</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Uploader une photo</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Outil de téléversement et numérisation des copies d'examens, feuilles de présence et procès-verbaux d'évaluations.</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Consulter les photos</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Galerie d'archivage des copies numérisées permettant de réviser ou vérifier une feuille d'examen en cas de réclamation.</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Statut de salaire</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Relevé financier personnel : état du salaire mensuel (Payé / En attente), montant, date de virement et historique des rémunérations.</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Annonces</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Réception ciblée des directives pédagogiques émanant du Rectorat, de la Secrétaire ou de la Coordination de Faculté.</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Événements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Consultation du calendrier scolaire institutionnel, dates de remises des notes et réunions de rentrée.</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Support</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Canal de communication direct pour signaler un problème technique ou formuler une demande pédagogique.</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Paramètres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Mise à jour sécurisée du mot de passe, de l'email, du téléphone et des contacts professionnels.</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Déconnexion</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Déconnexion sécurisée de la session professeur.</w:t>
            </w:r>
          </w:p>
        </w:tc>
      </w:tr>
    </w:tbl>
    <w:p>
      <w:pPr>
        <w:spacing w:before="0" w:after="120"/>
      </w:pPr>
    </w:p>
    <w:p>
      <w:pPr>
        <w:pStyle w:val="Heading2"/>
        <w:keepNext/>
        <w:spacing w:before="200" w:after="80"/>
      </w:pPr>
      <w:r>
        <w:rPr>
          <w:rFonts w:ascii="Calibri" w:hAnsi="Calibri"/>
          <w:b/>
          <w:color w:val="14166B"/>
          <w:sz w:val="28"/>
        </w:rPr>
        <w:t>4.1 Procédure de Saisie et Transmission des Notes</w:t>
      </w:r>
    </w:p>
    <w:p>
      <w:r>
        <w:t>1. Rendez-vous dans le menu « Attribuer / modifier une note ».</w:t>
        <w:br/>
        <w:t>2. Sélectionnez la matière concernée dans la liste déroulante des cours qui vous sont affectés.</w:t>
        <w:br/>
        <w:t>3. Entrez le matricule de l'étudiant (ID) ou sélectionnez-le dans la liste de classe.</w:t>
        <w:br/>
        <w:t>4. Indiquez la valeur de la note (sur 100) ainsi que la session d'évaluation.</w:t>
        <w:br/>
        <w:t>5. Cliquez sur « Enregistrer la note ». La note devient immédiatement visible dans l'onglet « Consulter les notes » et sera soumise à la validation du Secrétariat Général et de la Coordination.</w:t>
      </w:r>
    </w:p>
    <w:p>
      <w:pPr>
        <w:pStyle w:val="Heading1"/>
        <w:keepNext/>
        <w:spacing w:before="280" w:after="80"/>
      </w:pPr>
      <w:r>
        <w:rPr>
          <w:rFonts w:ascii="Calibri" w:hAnsi="Calibri"/>
          <w:b/>
          <w:color w:val="0B1E36"/>
          <w:sz w:val="36"/>
        </w:rPr>
        <w:t>5. Manuel de l'Espace Administration (Portail Administratif)</w:t>
      </w:r>
    </w:p>
    <w:p>
      <w:r>
        <w:t>Le portail d'administration de l'UDH offre une architecture modulaire ultra-complète adaptée au profil précis de l'administrateur connecté. Le système reconnaît quatre grands profils de gestion :</w:t>
      </w:r>
    </w:p>
    <w:p>
      <w:pPr>
        <w:pStyle w:val="Heading2"/>
        <w:keepNext/>
        <w:spacing w:before="200" w:after="80"/>
      </w:pPr>
      <w:r>
        <w:rPr>
          <w:rFonts w:ascii="Calibri" w:hAnsi="Calibri"/>
          <w:b/>
          <w:color w:val="14166B"/>
          <w:sz w:val="28"/>
        </w:rPr>
        <w:t>5.1 Profil 1 : 🏛️ Le Recteur (Haute Direction Académique)</w:t>
      </w:r>
    </w:p>
    <w:p>
      <w:r>
        <w:t>Le Recteur supervise l'ensemble de la vie universitaire, valide les orientations académiques, nomme le personnel aux différents postes et approuve les structures d'enseignement.</w:t>
      </w:r>
    </w:p>
    <w:tbl>
      <w:tblPr>
        <w:tblW w:type="auto" w:w="0"/>
        <w:jc w:val="center"/>
        <w:tblLayout w:type="fixed"/>
        <w:tblLook w:firstColumn="1" w:firstRow="1" w:lastColumn="0" w:lastRow="0" w:noHBand="0" w:noVBand="1" w:val="04A0"/>
      </w:tblPr>
      <w:tblGrid>
        <w:gridCol w:w="4680"/>
        <w:gridCol w:w="4680"/>
      </w:tblGrid>
      <w:tr>
        <w:tc>
          <w:tcPr>
            <w:tcW w:type="dxa" w:w="2880"/>
            <w:shd w:fill="0B1E36"/>
            <w:tcMar>
              <w:top w:w="120" w:type="dxa"/>
              <w:bottom w:w="120" w:type="dxa"/>
              <w:left w:w="140" w:type="dxa"/>
              <w:right w:w="140" w:type="dxa"/>
            </w:tcMar>
          </w:tcPr>
          <w:p>
            <w:pPr>
              <w:spacing w:before="40" w:after="40"/>
              <w:jc w:val="left"/>
            </w:pPr>
            <w:r>
              <w:rPr>
                <w:rFonts w:ascii="Calibri" w:hAnsi="Calibri"/>
                <w:b/>
                <w:color w:val="FFFFFF"/>
                <w:sz w:val="20"/>
              </w:rPr>
              <w:t>Menu Recteur</w:t>
            </w:r>
          </w:p>
        </w:tc>
        <w:tc>
          <w:tcPr>
            <w:tcW w:type="dxa" w:w="6480"/>
            <w:shd w:fill="0B1E36"/>
            <w:tcMar>
              <w:top w:w="120" w:type="dxa"/>
              <w:bottom w:w="120" w:type="dxa"/>
              <w:left w:w="140" w:type="dxa"/>
              <w:right w:w="140" w:type="dxa"/>
            </w:tcMar>
          </w:tcPr>
          <w:p>
            <w:pPr>
              <w:spacing w:before="40" w:after="40"/>
              <w:jc w:val="left"/>
            </w:pPr>
            <w:r>
              <w:rPr>
                <w:rFonts w:ascii="Calibri" w:hAnsi="Calibri"/>
                <w:b/>
                <w:color w:val="FFFFFF"/>
                <w:sz w:val="20"/>
              </w:rPr>
              <w:t>Description des Fonctionnalités</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Profil</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Données d'identification du Recteur, statut officiel et paramètres de contact d'urgence.</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Vue d'ensemble</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Tableau de bord exécutif : effectif total d'étudiants, corps professoral, nombre d'administrateurs, taux d'admission et statistiques globales.</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Gestion des membres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Gestion du personnel et des usagers : ajout, modification de statut (Actif, En congé, Rétrogradé, Licencié, Révoqué) et nomination officielle aux postes de gouvernance.</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Validation académique</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Homologation finale des cursus, approbation des règlements d'études, validation des délibérations annuelles et délivrance des diplômes.</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Gestion des facultés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Création et configuration des départements/facultés, nomination des coordonnateurs de faculté et contrôle des filières.</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Gestion financière</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Surveillance financière globale : équilibre budgétaire, masse salariale universitaire, recouvrement des scolarités et flux financiers rectoraux.</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Événements admin</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Planification des assemblées générales, rentrées solennelles, cérémonies de collation des grades et commissions paritaires.</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Paramètres</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Module unifié de gestion de compte, sécurité renforcée et personnalisation de l'environnement.</w:t>
            </w:r>
          </w:p>
        </w:tc>
      </w:tr>
    </w:tbl>
    <w:p>
      <w:pPr>
        <w:spacing w:before="0" w:after="120"/>
      </w:pPr>
    </w:p>
    <w:p>
      <w:pPr>
        <w:pStyle w:val="Heading2"/>
        <w:keepNext/>
        <w:spacing w:before="200" w:after="80"/>
      </w:pPr>
      <w:r>
        <w:rPr>
          <w:rFonts w:ascii="Calibri" w:hAnsi="Calibri"/>
          <w:b/>
          <w:color w:val="14166B"/>
          <w:sz w:val="28"/>
        </w:rPr>
        <w:t>5.2 Profil 2 : 👑 Le Président du Conseil d'Administration</w:t>
      </w:r>
    </w:p>
    <w:p>
      <w:r>
        <w:t>Le Président du Conseil d'Administration veille à la stratégie globale, au respect des statuts, à l'audit des opérations et au contrôle financier rigoureux de l'établissement.</w:t>
      </w:r>
    </w:p>
    <w:tbl>
      <w:tblPr>
        <w:tblW w:type="auto" w:w="0"/>
        <w:jc w:val="center"/>
        <w:tblLayout w:type="fixed"/>
        <w:tblLook w:firstColumn="1" w:firstRow="1" w:lastColumn="0" w:lastRow="0" w:noHBand="0" w:noVBand="1" w:val="04A0"/>
      </w:tblPr>
      <w:tblGrid>
        <w:gridCol w:w="4680"/>
        <w:gridCol w:w="4680"/>
      </w:tblGrid>
      <w:tr>
        <w:tc>
          <w:tcPr>
            <w:tcW w:type="dxa" w:w="2880"/>
            <w:shd w:fill="0B1E36"/>
            <w:tcMar>
              <w:top w:w="120" w:type="dxa"/>
              <w:bottom w:w="120" w:type="dxa"/>
              <w:left w:w="140" w:type="dxa"/>
              <w:right w:w="140" w:type="dxa"/>
            </w:tcMar>
          </w:tcPr>
          <w:p>
            <w:pPr>
              <w:spacing w:before="40" w:after="40"/>
              <w:jc w:val="left"/>
            </w:pPr>
            <w:r>
              <w:rPr>
                <w:rFonts w:ascii="Calibri" w:hAnsi="Calibri"/>
                <w:b/>
                <w:color w:val="FFFFFF"/>
                <w:sz w:val="20"/>
              </w:rPr>
              <w:t>Menu Président</w:t>
            </w:r>
          </w:p>
        </w:tc>
        <w:tc>
          <w:tcPr>
            <w:tcW w:type="dxa" w:w="6480"/>
            <w:shd w:fill="0B1E36"/>
            <w:tcMar>
              <w:top w:w="120" w:type="dxa"/>
              <w:bottom w:w="120" w:type="dxa"/>
              <w:left w:w="140" w:type="dxa"/>
              <w:right w:w="140" w:type="dxa"/>
            </w:tcMar>
          </w:tcPr>
          <w:p>
            <w:pPr>
              <w:spacing w:before="40" w:after="40"/>
              <w:jc w:val="left"/>
            </w:pPr>
            <w:r>
              <w:rPr>
                <w:rFonts w:ascii="Calibri" w:hAnsi="Calibri"/>
                <w:b/>
                <w:color w:val="FFFFFF"/>
                <w:sz w:val="20"/>
              </w:rPr>
              <w:t>Description des Fonctionnalités</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Profil</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Informations de mandat, coordonnées de fonction et contact d'urgence.</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Conseil d'administration</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Suivi des délibérations du Conseil, procès-verbaux des séances, ordres du jour et orientations stratégiques de l'université.</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Gestion financière</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Audit approfondi des comptes : analyse des courriers financiers émanant du Rectorat, validation des grands investissements.</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Événements admin</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Calendrier des sessions ordinaires et extraordinaires du Conseil d'Administration.</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Supervision</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Module d'audit système complet : journalisation des actions sensibles, historique des connexions, traçabilité des modifications de notes et inscriptions.</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Rapport (QChart)</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Génération de graphiques analytiques interactifs : répartition des salaires par poste, flux d'encaissement des scolarités, pyramide des effectifs.</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Annonces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Diffusion de déclarations officielles et communiqués solennels à l'attention de la communauté universitaire.</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Paramètres</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Paramètres de sécurité du compte du Président.</w:t>
            </w:r>
          </w:p>
        </w:tc>
      </w:tr>
    </w:tbl>
    <w:p>
      <w:pPr>
        <w:spacing w:before="0" w:after="120"/>
      </w:pPr>
    </w:p>
    <w:p>
      <w:pPr>
        <w:pStyle w:val="Heading2"/>
        <w:keepNext/>
        <w:spacing w:before="200" w:after="80"/>
      </w:pPr>
      <w:r>
        <w:rPr>
          <w:rFonts w:ascii="Calibri" w:hAnsi="Calibri"/>
          <w:b/>
          <w:color w:val="14166B"/>
          <w:sz w:val="28"/>
        </w:rPr>
        <w:t>5.3 Profil 3 : 📩 La Secrétaire de l'Administration (Secrétariat Général)</w:t>
      </w:r>
    </w:p>
    <w:p>
      <w:r>
        <w:t>La Secrétaire Générale constitue la cheville ouvrière opérationnelle de l'UDH. Elle administre les inscriptions, la correspondance officielle, la paie, les réunions et la tenue des dossiers.</w:t>
      </w:r>
    </w:p>
    <w:tbl>
      <w:tblPr>
        <w:tblW w:type="auto" w:w="0"/>
        <w:jc w:val="center"/>
        <w:tblLayout w:type="fixed"/>
        <w:tblLook w:firstColumn="1" w:firstRow="1" w:lastColumn="0" w:lastRow="0" w:noHBand="0" w:noVBand="1" w:val="04A0"/>
      </w:tblPr>
      <w:tblGrid>
        <w:gridCol w:w="4680"/>
        <w:gridCol w:w="4680"/>
      </w:tblGrid>
      <w:tr>
        <w:tc>
          <w:tcPr>
            <w:tcW w:type="dxa" w:w="2880"/>
            <w:shd w:fill="0B1E36"/>
            <w:tcMar>
              <w:top w:w="120" w:type="dxa"/>
              <w:bottom w:w="120" w:type="dxa"/>
              <w:left w:w="140" w:type="dxa"/>
              <w:right w:w="140" w:type="dxa"/>
            </w:tcMar>
          </w:tcPr>
          <w:p>
            <w:pPr>
              <w:spacing w:before="40" w:after="40"/>
              <w:jc w:val="left"/>
            </w:pPr>
            <w:r>
              <w:rPr>
                <w:rFonts w:ascii="Calibri" w:hAnsi="Calibri"/>
                <w:b/>
                <w:color w:val="FFFFFF"/>
                <w:sz w:val="20"/>
              </w:rPr>
              <w:t>Menu Secrétaire</w:t>
            </w:r>
          </w:p>
        </w:tc>
        <w:tc>
          <w:tcPr>
            <w:tcW w:type="dxa" w:w="6480"/>
            <w:shd w:fill="0B1E36"/>
            <w:tcMar>
              <w:top w:w="120" w:type="dxa"/>
              <w:bottom w:w="120" w:type="dxa"/>
              <w:left w:w="140" w:type="dxa"/>
              <w:right w:w="140" w:type="dxa"/>
            </w:tcMar>
          </w:tcPr>
          <w:p>
            <w:pPr>
              <w:spacing w:before="40" w:after="40"/>
              <w:jc w:val="left"/>
            </w:pPr>
            <w:r>
              <w:rPr>
                <w:rFonts w:ascii="Calibri" w:hAnsi="Calibri"/>
                <w:b/>
                <w:color w:val="FFFFFF"/>
                <w:sz w:val="20"/>
              </w:rPr>
              <w:t>Description des Fonctionnalités</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Profil</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Fiche de renseignements de la Secrétaire de l'administration.</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Gestion du courrier</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Module de messagerie officielle à 3 flux : Compte-rendu de séances, Liste certifiée des paiements, et Boîte d'envoi sortante (Outbox).</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Gestion des rendez-vous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Planification des rendez-vous administratifs et convocations aux Réunions du Comité avec sélection ciblée des postes et facultés.</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Dossiers administratifs</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Barre d'onglets intégrée (NavBar) comprenant 4 volets : 💳 Paiements &amp; Versements, 📝 Épreuves d'examens, 🎧 Support tickets, 📊 Rapports.</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Validation des inscriptions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Examen méticuleux des dossiers d'admission : consultation de la fiche détaillée, vérification des prérequis, approbation ou rejet motivé.</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Résultats des professeurs</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Interface de réception des notes transmises par les professeurs, contrôle de conformité et validation définitive dans le dossier de l'étudiant.</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Gestion des salaires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Tableau de paie : attribution et versement des salaires pour l'ensemble des professeurs et membres du personnel administratif, date et montant.</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Annonces</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Création et publication d'annonces ciblées avec options de diffusion : Tous, Étudiants, Professeurs, Administrateurs, ou faculté spécifique.</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Paramètres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Paramètres du compte du secrétariat.</w:t>
            </w:r>
          </w:p>
        </w:tc>
      </w:tr>
    </w:tbl>
    <w:p>
      <w:pPr>
        <w:spacing w:before="0" w:after="120"/>
      </w:pPr>
    </w:p>
    <w:p>
      <w:pPr>
        <w:pStyle w:val="Heading2"/>
        <w:keepNext/>
        <w:spacing w:before="200" w:after="80"/>
      </w:pPr>
      <w:r>
        <w:rPr>
          <w:rFonts w:ascii="Calibri" w:hAnsi="Calibri"/>
          <w:b/>
          <w:color w:val="14166B"/>
          <w:sz w:val="28"/>
        </w:rPr>
        <w:t>5.4 Profil 4 : 🏫 Le Coordonnateur de Faculté (Doyen / Directeur de Filière)</w:t>
      </w:r>
    </w:p>
    <w:p>
      <w:r>
        <w:t>Le Coordonnateur gère au quotidien une faculté donnée. Son interface est strictement cloisonnée autour de la faculté qui lui a été confiée, garantissant une gestion de proximité efficace et sécurisée.</w:t>
      </w:r>
    </w:p>
    <w:tbl>
      <w:tblPr>
        <w:tblW w:type="auto" w:w="0"/>
        <w:jc w:val="center"/>
        <w:tblLayout w:type="fixed"/>
        <w:tblLook w:firstColumn="1" w:firstRow="1" w:lastColumn="0" w:lastRow="0" w:noHBand="0" w:noVBand="1" w:val="04A0"/>
      </w:tblPr>
      <w:tblGrid>
        <w:gridCol w:w="4680"/>
        <w:gridCol w:w="4680"/>
      </w:tblGrid>
      <w:tr>
        <w:tc>
          <w:tcPr>
            <w:tcW w:type="dxa" w:w="2880"/>
            <w:shd w:fill="0B1E36"/>
            <w:tcMar>
              <w:top w:w="120" w:type="dxa"/>
              <w:bottom w:w="120" w:type="dxa"/>
              <w:left w:w="140" w:type="dxa"/>
              <w:right w:w="140" w:type="dxa"/>
            </w:tcMar>
          </w:tcPr>
          <w:p>
            <w:pPr>
              <w:spacing w:before="40" w:after="40"/>
              <w:jc w:val="left"/>
            </w:pPr>
            <w:r>
              <w:rPr>
                <w:rFonts w:ascii="Calibri" w:hAnsi="Calibri"/>
                <w:b/>
                <w:color w:val="FFFFFF"/>
                <w:sz w:val="20"/>
              </w:rPr>
              <w:t>Menu Coordonnateur</w:t>
            </w:r>
          </w:p>
        </w:tc>
        <w:tc>
          <w:tcPr>
            <w:tcW w:type="dxa" w:w="6480"/>
            <w:shd w:fill="0B1E36"/>
            <w:tcMar>
              <w:top w:w="120" w:type="dxa"/>
              <w:bottom w:w="120" w:type="dxa"/>
              <w:left w:w="140" w:type="dxa"/>
              <w:right w:w="140" w:type="dxa"/>
            </w:tcMar>
          </w:tcPr>
          <w:p>
            <w:pPr>
              <w:spacing w:before="40" w:after="40"/>
              <w:jc w:val="left"/>
            </w:pPr>
            <w:r>
              <w:rPr>
                <w:rFonts w:ascii="Calibri" w:hAnsi="Calibri"/>
                <w:b/>
                <w:color w:val="FFFFFF"/>
                <w:sz w:val="20"/>
              </w:rPr>
              <w:t>Description des Fonctionnalités</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Profil</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Profil du coordonnateur mentionnant sa faculté d'assignation immuable.</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Ma faculté</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Tableau de bord local de la faculté : nombre total de professeurs rattachés, étudiants inscrits par promotion, liste nominative et recherche par matricule.</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Gestion des professeurs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Liste des enseignants affectés à la faculté, matières dispensées, statut salarial local et charge horaire.</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Programmes &amp; Matières</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Configuration du cursus académique de la faculté par année d'études (L1, L2, L3, M1, M2), syllabus et crédits associés.</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Emploi du temps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Planification hebdomadaire des cours de la faculté : assignation des créneaux horaires, attribution des salles et amphithéâtres.</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Résultats des étudiants</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Consultation et supervision des notes obtenues par les étudiants de la faculté, calcul des moyennes de promotion et délibérations.</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Événements admin</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Calendrier des événements et soutenances spécifiques à la faculté.</w:t>
            </w:r>
          </w:p>
        </w:tc>
      </w:tr>
      <w:tr>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Annonces</w:t>
            </w:r>
          </w:p>
        </w:tc>
        <w:tc>
          <w:tcPr>
            <w:tcW w:type="dxa" w:w="64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Avis et communiqués destinés aux étudiants et enseignants de la faculté.</w:t>
            </w:r>
          </w:p>
        </w:tc>
      </w:tr>
      <w:tr>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 Paramètres</w:t>
            </w:r>
          </w:p>
        </w:tc>
        <w:tc>
          <w:tcPr>
            <w:tcW w:type="dxa" w:w="64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Paramètres du compte du coordonnateur.</w:t>
            </w:r>
          </w:p>
        </w:tc>
      </w:tr>
    </w:tbl>
    <w:p>
      <w:pPr>
        <w:spacing w:before="0" w:after="120"/>
      </w:pPr>
    </w:p>
    <w:p>
      <w:pPr>
        <w:pStyle w:val="Heading1"/>
        <w:keepNext/>
        <w:spacing w:before="280" w:after="80"/>
      </w:pPr>
      <w:r>
        <w:rPr>
          <w:rFonts w:ascii="Calibri" w:hAnsi="Calibri"/>
          <w:b/>
          <w:color w:val="0B1E36"/>
          <w:sz w:val="36"/>
        </w:rPr>
        <w:t>6. Guide d'Utilisation des Modules Transversaux et Partagés</w:t>
      </w:r>
    </w:p>
    <w:p>
      <w:r>
        <w:t>L'application UDH intègre plusieurs modules transversaux qui interagissent entre les différents rôles pour fluidifier le travail collaboratif au sein de l'université.</w:t>
      </w:r>
    </w:p>
    <w:p>
      <w:pPr>
        <w:pStyle w:val="Heading2"/>
        <w:keepNext/>
        <w:spacing w:before="200" w:after="80"/>
      </w:pPr>
      <w:r>
        <w:rPr>
          <w:rFonts w:ascii="Calibri" w:hAnsi="Calibri"/>
          <w:b/>
          <w:color w:val="14166B"/>
          <w:sz w:val="28"/>
        </w:rPr>
        <w:t>6.1 Module de Gestion du Courrier Officiel</w:t>
      </w:r>
    </w:p>
    <w:p>
      <w:r>
        <w:t>Le module GestionCourrier est organisé en trois flux spécialisés :</w:t>
        <w:br/>
        <w:t>1. Compte-Rendu : Permet au secrétariat de rédiger et d'adresser des comptes-rendus formels au Président ou au Recteur avec horodatage et accusé de réception.</w:t>
        <w:br/>
        <w:t>2. Liste des Paiements : Génération et transmission sécurisée des états récapitulatifs des encaissements pour le contrôle financier.</w:t>
        <w:br/>
        <w:t>3. Boîte d'envoi (Outbox) : Historique exhaustif de tous les courriers expédiés avec leur statut de lecture en temps réel (Envoyé / Lu).</w:t>
      </w:r>
    </w:p>
    <w:p>
      <w:pPr>
        <w:pStyle w:val="Heading2"/>
        <w:keepNext/>
        <w:spacing w:before="200" w:after="80"/>
      </w:pPr>
      <w:r>
        <w:rPr>
          <w:rFonts w:ascii="Calibri" w:hAnsi="Calibri"/>
          <w:b/>
          <w:color w:val="14166B"/>
          <w:sz w:val="28"/>
        </w:rPr>
        <w:t>6.2 Module de Gestion des Réunions et Convocations</w:t>
      </w:r>
    </w:p>
    <w:p>
      <w:r>
        <w:t>Le module GestionReunions permet de planifier des réunions de comité en sélectionnant précisément les destinataires (ex. Recteur, Président, Coordonnateurs de facultés ou Tous les administrateurs). Chaque participant convoqué reçoit une alerte dans son espace avec l'ordre du jour, la date, l'heure et la salle.</w:t>
      </w:r>
    </w:p>
    <w:p>
      <w:pPr>
        <w:pStyle w:val="Heading2"/>
        <w:keepNext/>
        <w:spacing w:before="200" w:after="80"/>
      </w:pPr>
      <w:r>
        <w:rPr>
          <w:rFonts w:ascii="Calibri" w:hAnsi="Calibri"/>
          <w:b/>
          <w:color w:val="14166B"/>
          <w:sz w:val="28"/>
        </w:rPr>
        <w:t>6.3 Module de Gestion des Salaires</w:t>
      </w:r>
    </w:p>
    <w:p>
      <w:r>
        <w:t>Le module GestionSalaires centralise la rémunération de l'ensemble du personnel (Enseignants et Administratifs). Il permet de définir le montant des émoluments, de marquer un salaire comme « Payé » avec enregistrement de la date de virement, ou « En attente ». L'information est instantanément répercutée dans l'espace personnel de l'employé.</w:t>
      </w:r>
    </w:p>
    <w:p>
      <w:pPr>
        <w:pStyle w:val="Heading2"/>
        <w:keepNext/>
        <w:spacing w:before="200" w:after="80"/>
      </w:pPr>
      <w:r>
        <w:rPr>
          <w:rFonts w:ascii="Calibri" w:hAnsi="Calibri"/>
          <w:b/>
          <w:color w:val="14166B"/>
          <w:sz w:val="28"/>
        </w:rPr>
        <w:t>6.4 Module de Diffusion des Annonces et Notifications</w:t>
      </w:r>
    </w:p>
    <w:p>
      <w:r>
        <w:t>Le système d'annonces (GestionAnnonces et AnnoncesRecues) intègre un mécanisme de ciblage avancé : les annonces peuvent être publiées à l'attention de l'ensemble de la communauté (Tous), exclusivement aux étudiants, aux professeurs, aux administrateurs, ou filtrées par faculté. Un badge numérique indique en temps réel le nombre d'annonces non lues dans la barre latérale de chaque utilisateur.</w:t>
      </w:r>
    </w:p>
    <w:p>
      <w:pPr>
        <w:pStyle w:val="Heading2"/>
        <w:keepNext/>
        <w:spacing w:before="200" w:after="80"/>
      </w:pPr>
      <w:r>
        <w:rPr>
          <w:rFonts w:ascii="Calibri" w:hAnsi="Calibri"/>
          <w:b/>
          <w:color w:val="14166B"/>
          <w:sz w:val="28"/>
        </w:rPr>
        <w:t>6.5 Module des Paramètres de Compte Unifié</w:t>
      </w:r>
    </w:p>
    <w:p>
      <w:r>
        <w:t>Le composant ParametresCompteBase offre à tous les utilisateurs (Étudiant, Professeur, Recteur, Président, Secrétaire, Coordonnateur) une interface standardisée et sécurisée pour :</w:t>
        <w:br/>
        <w:t>• Consulter leurs informations administratives officielles (Matricule, Rôle, Faculté, Poste, Statut du compte).</w:t>
        <w:br/>
        <w:t>• Modifier leurs coordonnées de contact (Téléphone, Email).</w:t>
        <w:br/>
        <w:t>• Mettre à jour les informations d'une personne proche / tuteur (Nom, Prénom, Téléphone).</w:t>
        <w:br/>
        <w:t>• Changer leur mot de passe avec vérification obligatoire de l'ancien mot de passe pour prévenir toute usurpation.</w:t>
      </w:r>
    </w:p>
    <w:p>
      <w:pPr>
        <w:pStyle w:val="Heading1"/>
        <w:keepNext/>
        <w:spacing w:before="280" w:after="80"/>
      </w:pPr>
      <w:r>
        <w:rPr>
          <w:rFonts w:ascii="Calibri" w:hAnsi="Calibri"/>
          <w:b/>
          <w:color w:val="0B1E36"/>
          <w:sz w:val="36"/>
        </w:rPr>
        <w:t>7. Bonnes Pratiques, Sécurité et Dépannage (FAQ)</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B1E36"/>
            <w:tcMar>
              <w:top w:w="120" w:type="dxa"/>
              <w:bottom w:w="120" w:type="dxa"/>
              <w:left w:w="140" w:type="dxa"/>
              <w:right w:w="140" w:type="dxa"/>
            </w:tcMar>
          </w:tcPr>
          <w:p>
            <w:pPr>
              <w:spacing w:before="40" w:after="40"/>
              <w:jc w:val="left"/>
            </w:pPr>
            <w:r>
              <w:rPr>
                <w:rFonts w:ascii="Calibri" w:hAnsi="Calibri"/>
                <w:b/>
                <w:color w:val="FFFFFF"/>
                <w:sz w:val="20"/>
              </w:rPr>
              <w:t>Question / Problème</w:t>
            </w:r>
          </w:p>
        </w:tc>
        <w:tc>
          <w:tcPr>
            <w:tcW w:type="dxa" w:w="2880"/>
            <w:shd w:fill="0B1E36"/>
            <w:tcMar>
              <w:top w:w="120" w:type="dxa"/>
              <w:bottom w:w="120" w:type="dxa"/>
              <w:left w:w="140" w:type="dxa"/>
              <w:right w:w="140" w:type="dxa"/>
            </w:tcMar>
          </w:tcPr>
          <w:p>
            <w:pPr>
              <w:spacing w:before="40" w:after="40"/>
              <w:jc w:val="left"/>
            </w:pPr>
            <w:r>
              <w:rPr>
                <w:rFonts w:ascii="Calibri" w:hAnsi="Calibri"/>
                <w:b/>
                <w:color w:val="FFFFFF"/>
                <w:sz w:val="20"/>
              </w:rPr>
              <w:t>Cause Probable</w:t>
            </w:r>
          </w:p>
        </w:tc>
        <w:tc>
          <w:tcPr>
            <w:tcW w:type="dxa" w:w="3888"/>
            <w:shd w:fill="0B1E36"/>
            <w:tcMar>
              <w:top w:w="120" w:type="dxa"/>
              <w:bottom w:w="120" w:type="dxa"/>
              <w:left w:w="140" w:type="dxa"/>
              <w:right w:w="140" w:type="dxa"/>
            </w:tcMar>
          </w:tcPr>
          <w:p>
            <w:pPr>
              <w:spacing w:before="40" w:after="40"/>
              <w:jc w:val="left"/>
            </w:pPr>
            <w:r>
              <w:rPr>
                <w:rFonts w:ascii="Calibri" w:hAnsi="Calibri"/>
                <w:b/>
                <w:color w:val="FFFFFF"/>
                <w:sz w:val="20"/>
              </w:rPr>
              <w:t>Procédure de Résolution</w:t>
            </w:r>
          </w:p>
        </w:tc>
      </w:tr>
      <w:tr>
        <w:tc>
          <w:tcPr>
            <w:tcW w:type="dxa" w:w="2592"/>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Problème Fréquent</w:t>
            </w:r>
          </w:p>
        </w:tc>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Cause Probable</w:t>
            </w:r>
          </w:p>
        </w:tc>
        <w:tc>
          <w:tcPr>
            <w:tcW w:type="dxa" w:w="3888"/>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Solution Recommandée</w:t>
            </w:r>
          </w:p>
        </w:tc>
      </w:tr>
      <w:tr>
        <w:tc>
          <w:tcPr>
            <w:tcW w:type="dxa" w:w="2592"/>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Compte étudiant en attente</w:t>
            </w:r>
          </w:p>
        </w:tc>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Dossier soumis récemment non encore validé.</w:t>
            </w:r>
          </w:p>
        </w:tc>
        <w:tc>
          <w:tcPr>
            <w:tcW w:type="dxa" w:w="3888"/>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Le secrétariat doit ouvrir le module 'Validation des Inscriptions' et cliquer sur 'Approuver'.</w:t>
            </w:r>
          </w:p>
        </w:tc>
      </w:tr>
      <w:tr>
        <w:tc>
          <w:tcPr>
            <w:tcW w:type="dxa" w:w="2592"/>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Notes non visibles pour l'étudiant</w:t>
            </w:r>
          </w:p>
        </w:tc>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Notes saisies par le professeur mais non transférées.</w:t>
            </w:r>
          </w:p>
        </w:tc>
        <w:tc>
          <w:tcPr>
            <w:tcW w:type="dxa" w:w="3888"/>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La secrétaire doit vérifier les notes dans 'Résultats des professeurs' et cliquer sur 'Transférer au dossier'.</w:t>
            </w:r>
          </w:p>
        </w:tc>
      </w:tr>
      <w:tr>
        <w:tc>
          <w:tcPr>
            <w:tcW w:type="dxa" w:w="2592"/>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Faculté inaccessible pour un coordonnateur</w:t>
            </w:r>
          </w:p>
        </w:tc>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Isolation stricte de la sécurité.</w:t>
            </w:r>
          </w:p>
        </w:tc>
        <w:tc>
          <w:tcPr>
            <w:tcW w:type="dxa" w:w="3888"/>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Le coordonnateur n'a accès qu'à sa propre faculté. Pour changer de faculté, le Recteur doit modifier sa nomination.</w:t>
            </w:r>
          </w:p>
        </w:tc>
      </w:tr>
      <w:tr>
        <w:tc>
          <w:tcPr>
            <w:tcW w:type="dxa" w:w="2592"/>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Oubli de mot de passe</w:t>
            </w:r>
          </w:p>
        </w:tc>
        <w:tc>
          <w:tcPr>
            <w:tcW w:type="dxa" w:w="2880"/>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Perte des identifiants de connexion.</w:t>
            </w:r>
          </w:p>
        </w:tc>
        <w:tc>
          <w:tcPr>
            <w:tcW w:type="dxa" w:w="3888"/>
            <w:shd w:fill="FFFFFF"/>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Contacter l'administrateur système ou le Secrétariat Général qui peut réinitialiser le mot de passe depuis 'Gestion des membres'.</w:t>
            </w:r>
          </w:p>
        </w:tc>
      </w:tr>
      <w:tr>
        <w:tc>
          <w:tcPr>
            <w:tcW w:type="dxa" w:w="2592"/>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Paiement non pris en compte</w:t>
            </w:r>
          </w:p>
        </w:tc>
        <w:tc>
          <w:tcPr>
            <w:tcW w:type="dxa" w:w="2880"/>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Bordereau en cours de traitement comptable.</w:t>
            </w:r>
          </w:p>
        </w:tc>
        <w:tc>
          <w:tcPr>
            <w:tcW w:type="dxa" w:w="3888"/>
            <w:shd w:fill="F8FAFC"/>
            <w:tcMar>
              <w:top w:w="100" w:type="dxa"/>
              <w:bottom w:w="100" w:type="dxa"/>
              <w:left w:w="140" w:type="dxa"/>
              <w:right w:w="140" w:type="dxa"/>
            </w:tcMar>
            <w:tcBorders>
              <w:bottom w:val="single" w:sz="4" w:space="0" w:color="E2E8F0"/>
              <w:top w:val="single" w:sz="4" w:space="0" w:color="E2E8F0"/>
              <w:left w:val="nil" w:sz="4" w:space="0" w:color="auto"/>
              <w:right w:val="nil" w:sz="4" w:space="0" w:color="auto"/>
            </w:tcBorders>
          </w:tcPr>
          <w:p>
            <w:pPr>
              <w:spacing w:before="40" w:after="40"/>
            </w:pPr>
            <w:r>
              <w:rPr>
                <w:rFonts w:ascii="Calibri" w:hAnsi="Calibri"/>
                <w:color w:val="2D3748"/>
                <w:sz w:val="19"/>
              </w:rPr>
              <w:t>La comptabilité ou le secrétariat valide le versement dans le sous-onglet 'Paiements &amp; Versements'.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BEBEB"/>
            <w:tcMar>
              <w:top w:w="140" w:type="dxa"/>
              <w:bottom w:w="140" w:type="dxa"/>
              <w:left w:w="200" w:type="dxa"/>
              <w:right w:w="200" w:type="dxa"/>
            </w:tcMar>
            <w:tcBorders>
              <w:left w:val="single" w:sz="24" w:space="0" w:color="C53030"/>
              <w:top w:val="nil" w:sz="4" w:space="0" w:color="auto"/>
              <w:right w:val="nil" w:sz="4" w:space="0" w:color="auto"/>
              <w:bottom w:val="nil" w:sz="4" w:space="0" w:color="auto"/>
            </w:tcBorders>
          </w:tcPr>
          <w:p>
            <w:pPr>
              <w:spacing w:before="40" w:after="80"/>
            </w:pPr>
            <w:r>
              <w:rPr>
                <w:rFonts w:ascii="Calibri" w:hAnsi="Calibri"/>
                <w:b/>
                <w:color w:val="C53030"/>
                <w:sz w:val="21"/>
              </w:rPr>
              <w:t>🔒 CONSIGNE DE SÉCURITÉ IMPORTANTE</w:t>
              <w:br/>
            </w:r>
            <w:r>
              <w:rPr>
                <w:rFonts w:ascii="Calibri" w:hAnsi="Calibri"/>
                <w:color w:val="2D3748"/>
                <w:sz w:val="20"/>
              </w:rPr>
              <w:t>Il est formellement recommandé à tous les utilisateurs de se déconnecter systématiquement via le bouton « Déconnexion » situé en bas de la barre latérale avant de quitter leur poste de travail, afin de garantir la protection des données personnelles et académiques.</w:t>
            </w:r>
          </w:p>
        </w:tc>
      </w:tr>
    </w:tbl>
    <w:p>
      <w:pPr>
        <w:spacing w:before="0" w:after="120"/>
      </w:pPr>
    </w:p>
    <w:p>
      <w:pPr>
        <w:pStyle w:val="Heading1"/>
        <w:keepNext/>
        <w:spacing w:before="280" w:after="80"/>
      </w:pPr>
      <w:r>
        <w:rPr>
          <w:rFonts w:ascii="Calibri" w:hAnsi="Calibri"/>
          <w:b/>
          <w:color w:val="0B1E36"/>
          <w:sz w:val="36"/>
        </w:rPr>
        <w:t>8. Conclusion et Informations Officielles</w:t>
      </w:r>
    </w:p>
    <w:p>
      <w:r>
        <w:t>Ce manuel d'utilisation constitue le document de référence officiel pour l'exploitation du système de gestion universitaire UDH. Toute évolution fonctionnelle fera l'objet d'une mise à jour du présent document par la direction des systèmes d'information.</w:t>
      </w:r>
    </w:p>
    <w:p>
      <w:pPr>
        <w:spacing w:before="400"/>
        <w:jc w:val="right"/>
      </w:pPr>
      <w:r>
        <w:rPr>
          <w:b/>
          <w:i/>
          <w:color w:val="0B1E36"/>
        </w:rPr>
        <w:t>Direction des Systèmes d'Information</w:t>
        <w:br/>
        <w:t>Université de Développement d'Haïti (UDH)</w:t>
        <w:br/>
        <w:t>Port-au-Prince, Haïti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