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64" w:lineRule="auto"/>
      </w:pPr>
      <w:r>
        <w:rPr>
          <w:rFonts w:ascii="Calibri" w:hAnsi="Calibri"/>
          <w:b/>
          <w:i w:val="0"/>
          <w:color w:val="D8643E"/>
          <w:sz w:val="18"/>
        </w:rPr>
        <w:t>PRODUCT REQUIREMENTS DOCUMENT</w:t>
      </w:r>
    </w:p>
    <w:p>
      <w:pPr>
        <w:keepNext w:val="0"/>
        <w:spacing w:before="0" w:after="60" w:line="240" w:lineRule="auto"/>
      </w:pPr>
      <w:r>
        <w:rPr>
          <w:rFonts w:ascii="Calibri" w:hAnsi="Calibri"/>
          <w:b/>
          <w:i w:val="0"/>
          <w:color w:val="111315"/>
          <w:sz w:val="54"/>
        </w:rPr>
        <w:t>FieldRelay Managed Pilot MVP</w:t>
      </w:r>
    </w:p>
    <w:p>
      <w:pPr>
        <w:keepNext w:val="0"/>
        <w:spacing w:before="0" w:after="320" w:line="276" w:lineRule="auto"/>
      </w:pPr>
      <w:r>
        <w:rPr>
          <w:rFonts w:ascii="Calibri" w:hAnsi="Calibri"/>
          <w:b w:val="0"/>
          <w:i w:val="0"/>
          <w:color w:val="6D7479"/>
          <w:sz w:val="27"/>
        </w:rPr>
        <w:t>One shared product core. One isolated deployment for each client.</w:t>
      </w:r>
    </w:p>
    <w:tbl>
      <w:tblPr>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100" w:type="dxa"/>
              <w:start w:w="140" w:type="dxa"/>
              <w:bottom w:w="100" w:type="dxa"/>
              <w:end w:w="140" w:type="dxa"/>
            </w:tcMar>
            <w:shd w:fill="F6F5F1"/>
          </w:tcPr>
          <w:p>
            <w:r>
              <w:rPr>
                <w:rFonts w:ascii="Calibri" w:hAnsi="Calibri"/>
                <w:b/>
                <w:color w:val="6D7479"/>
                <w:sz w:val="18"/>
              </w:rPr>
              <w:t>Owner</w:t>
            </w:r>
          </w:p>
        </w:tc>
        <w:tc>
          <w:tcPr>
            <w:tcW w:type="dxa" w:w="7200"/>
            <w:tcMar>
              <w:top w:w="100" w:type="dxa"/>
              <w:start w:w="140" w:type="dxa"/>
              <w:bottom w:w="100" w:type="dxa"/>
              <w:end w:w="140" w:type="dxa"/>
            </w:tcMar>
          </w:tcPr>
          <w:p>
            <w:r>
              <w:rPr>
                <w:rFonts w:ascii="Calibri" w:hAnsi="Calibri"/>
                <w:color w:val="111315"/>
                <w:sz w:val="19"/>
              </w:rPr>
              <w:t>PrimeArcTech</w:t>
            </w:r>
          </w:p>
        </w:tc>
      </w:tr>
      <w:tr>
        <w:tc>
          <w:tcPr>
            <w:tcW w:type="dxa" w:w="2160"/>
            <w:tcMar>
              <w:top w:w="100" w:type="dxa"/>
              <w:start w:w="140" w:type="dxa"/>
              <w:bottom w:w="100" w:type="dxa"/>
              <w:end w:w="140" w:type="dxa"/>
            </w:tcMar>
            <w:shd w:fill="F6F5F1"/>
          </w:tcPr>
          <w:p>
            <w:r>
              <w:rPr>
                <w:rFonts w:ascii="Calibri" w:hAnsi="Calibri"/>
                <w:b/>
                <w:color w:val="6D7479"/>
                <w:sz w:val="18"/>
              </w:rPr>
              <w:t>Version</w:t>
            </w:r>
          </w:p>
        </w:tc>
        <w:tc>
          <w:tcPr>
            <w:tcW w:type="dxa" w:w="7200"/>
            <w:tcMar>
              <w:top w:w="100" w:type="dxa"/>
              <w:start w:w="140" w:type="dxa"/>
              <w:bottom w:w="100" w:type="dxa"/>
              <w:end w:w="140" w:type="dxa"/>
            </w:tcMar>
          </w:tcPr>
          <w:p>
            <w:r>
              <w:rPr>
                <w:rFonts w:ascii="Calibri" w:hAnsi="Calibri"/>
                <w:color w:val="111315"/>
                <w:sz w:val="19"/>
              </w:rPr>
              <w:t>2.0</w:t>
            </w:r>
          </w:p>
        </w:tc>
      </w:tr>
      <w:tr>
        <w:tc>
          <w:tcPr>
            <w:tcW w:type="dxa" w:w="2160"/>
            <w:tcMar>
              <w:top w:w="100" w:type="dxa"/>
              <w:start w:w="140" w:type="dxa"/>
              <w:bottom w:w="100" w:type="dxa"/>
              <w:end w:w="140" w:type="dxa"/>
            </w:tcMar>
            <w:shd w:fill="F6F5F1"/>
          </w:tcPr>
          <w:p>
            <w:r>
              <w:rPr>
                <w:rFonts w:ascii="Calibri" w:hAnsi="Calibri"/>
                <w:b/>
                <w:color w:val="6D7479"/>
                <w:sz w:val="18"/>
              </w:rPr>
              <w:t>Date</w:t>
            </w:r>
          </w:p>
        </w:tc>
        <w:tc>
          <w:tcPr>
            <w:tcW w:type="dxa" w:w="7200"/>
            <w:tcMar>
              <w:top w:w="100" w:type="dxa"/>
              <w:start w:w="140" w:type="dxa"/>
              <w:bottom w:w="100" w:type="dxa"/>
              <w:end w:w="140" w:type="dxa"/>
            </w:tcMar>
          </w:tcPr>
          <w:p>
            <w:r>
              <w:rPr>
                <w:rFonts w:ascii="Calibri" w:hAnsi="Calibri"/>
                <w:color w:val="111315"/>
                <w:sz w:val="19"/>
              </w:rPr>
              <w:t>August 13, 2026</w:t>
            </w:r>
          </w:p>
        </w:tc>
      </w:tr>
      <w:tr>
        <w:tc>
          <w:tcPr>
            <w:tcW w:type="dxa" w:w="2160"/>
            <w:tcMar>
              <w:top w:w="100" w:type="dxa"/>
              <w:start w:w="140" w:type="dxa"/>
              <w:bottom w:w="100" w:type="dxa"/>
              <w:end w:w="140" w:type="dxa"/>
            </w:tcMar>
            <w:shd w:fill="F6F5F1"/>
          </w:tcPr>
          <w:p>
            <w:r>
              <w:rPr>
                <w:rFonts w:ascii="Calibri" w:hAnsi="Calibri"/>
                <w:b/>
                <w:color w:val="6D7479"/>
                <w:sz w:val="18"/>
              </w:rPr>
              <w:t>Delivery window</w:t>
            </w:r>
          </w:p>
        </w:tc>
        <w:tc>
          <w:tcPr>
            <w:tcW w:type="dxa" w:w="7200"/>
            <w:tcMar>
              <w:top w:w="100" w:type="dxa"/>
              <w:start w:w="140" w:type="dxa"/>
              <w:bottom w:w="100" w:type="dxa"/>
              <w:end w:w="140" w:type="dxa"/>
            </w:tcMar>
          </w:tcPr>
          <w:p>
            <w:r>
              <w:rPr>
                <w:rFonts w:ascii="Calibri" w:hAnsi="Calibri"/>
                <w:color w:val="111315"/>
                <w:sz w:val="19"/>
              </w:rPr>
              <w:t>10 working days for the reusable pilot foundation</w:t>
            </w:r>
          </w:p>
        </w:tc>
      </w:tr>
      <w:tr>
        <w:tc>
          <w:tcPr>
            <w:tcW w:type="dxa" w:w="2160"/>
            <w:tcMar>
              <w:top w:w="100" w:type="dxa"/>
              <w:start w:w="140" w:type="dxa"/>
              <w:bottom w:w="100" w:type="dxa"/>
              <w:end w:w="140" w:type="dxa"/>
            </w:tcMar>
            <w:shd w:fill="F6F5F1"/>
          </w:tcPr>
          <w:p>
            <w:r>
              <w:rPr>
                <w:rFonts w:ascii="Calibri" w:hAnsi="Calibri"/>
                <w:b/>
                <w:color w:val="6D7479"/>
                <w:sz w:val="18"/>
              </w:rPr>
              <w:t>Team</w:t>
            </w:r>
          </w:p>
        </w:tc>
        <w:tc>
          <w:tcPr>
            <w:tcW w:type="dxa" w:w="7200"/>
            <w:tcMar>
              <w:top w:w="100" w:type="dxa"/>
              <w:start w:w="140" w:type="dxa"/>
              <w:bottom w:w="100" w:type="dxa"/>
              <w:end w:w="140" w:type="dxa"/>
            </w:tcMar>
          </w:tcPr>
          <w:p>
            <w:r>
              <w:rPr>
                <w:rFonts w:ascii="Calibri" w:hAnsi="Calibri"/>
                <w:color w:val="111315"/>
                <w:sz w:val="19"/>
              </w:rPr>
              <w:t>Voice/backend engineer, full-stack engineer, product/QA operator</w:t>
            </w:r>
          </w:p>
        </w:tc>
      </w:tr>
      <w:tr>
        <w:tc>
          <w:tcPr>
            <w:tcW w:type="dxa" w:w="2160"/>
            <w:tcMar>
              <w:top w:w="100" w:type="dxa"/>
              <w:start w:w="140" w:type="dxa"/>
              <w:bottom w:w="100" w:type="dxa"/>
              <w:end w:w="140" w:type="dxa"/>
            </w:tcMar>
            <w:shd w:fill="F6F5F1"/>
          </w:tcPr>
          <w:p>
            <w:r>
              <w:rPr>
                <w:rFonts w:ascii="Calibri" w:hAnsi="Calibri"/>
                <w:b/>
                <w:color w:val="6D7479"/>
                <w:sz w:val="18"/>
              </w:rPr>
              <w:t>Release model</w:t>
            </w:r>
          </w:p>
        </w:tc>
        <w:tc>
          <w:tcPr>
            <w:tcW w:type="dxa" w:w="7200"/>
            <w:tcMar>
              <w:top w:w="100" w:type="dxa"/>
              <w:start w:w="140" w:type="dxa"/>
              <w:bottom w:w="100" w:type="dxa"/>
              <w:end w:w="140" w:type="dxa"/>
            </w:tcMar>
          </w:tcPr>
          <w:p>
            <w:r>
              <w:rPr>
                <w:rFonts w:ascii="Calibri" w:hAnsi="Calibri"/>
                <w:color w:val="111315"/>
                <w:sz w:val="19"/>
              </w:rPr>
              <w:t>Productized managed service; not self-service SaaS</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80" w:type="dxa"/>
              <w:start w:w="220" w:type="dxa"/>
              <w:bottom w:w="180" w:type="dxa"/>
              <w:end w:w="220" w:type="dxa"/>
            </w:tcMar>
            <w:shd w:fill="23272B"/>
            <w:vAlign w:val="center"/>
          </w:tcPr>
          <w:p>
            <w:pPr>
              <w:keepNext w:val="0"/>
              <w:spacing w:before="0" w:after="100" w:line="240" w:lineRule="auto"/>
            </w:pPr>
            <w:r>
              <w:rPr>
                <w:rFonts w:ascii="Calibri" w:hAnsi="Calibri"/>
                <w:b/>
                <w:color w:val="D8643E"/>
                <w:sz w:val="20"/>
              </w:rPr>
              <w:t>ARCHITECTURE DECISION</w:t>
            </w:r>
          </w:p>
          <w:p>
            <w:pPr>
              <w:keepNext w:val="0"/>
              <w:spacing w:before="0" w:after="0" w:line="300" w:lineRule="auto"/>
            </w:pPr>
            <w:r>
              <w:rPr>
                <w:rFonts w:ascii="Calibri" w:hAnsi="Calibri"/>
                <w:b/>
                <w:color w:val="FFFFFF"/>
                <w:sz w:val="23"/>
              </w:rPr>
              <w:t>Do not build a pooled multi-tenant SaaS platform and do not fork the source for each customer. Deploy the same tested FieldRelay core into dedicated client resources, with variation limited to validated configuration and modular adapters.</w:t>
            </w:r>
          </w:p>
        </w:tc>
      </w:tr>
    </w:tbl>
    <w:p>
      <w:pPr>
        <w:pStyle w:val="Heading1"/>
        <w:keepNext/>
      </w:pPr>
      <w:r>
        <w:rPr>
          <w:rFonts w:ascii="Calibri" w:hAnsi="Calibri"/>
          <w:color w:val="D8643E"/>
        </w:rPr>
        <w:t>1. Product definition</w:t>
      </w:r>
    </w:p>
    <w:p>
      <w:pPr>
        <w:keepNext w:val="0"/>
        <w:spacing w:before="0" w:after="120" w:line="288" w:lineRule="auto"/>
      </w:pPr>
      <w:r>
        <w:rPr>
          <w:rFonts w:ascii="Calibri" w:hAnsi="Calibri"/>
          <w:b w:val="0"/>
          <w:i w:val="0"/>
          <w:color w:val="23272B"/>
          <w:sz w:val="21"/>
        </w:rPr>
        <w:t>FieldRelay answers missed and after-hours residential HVAC and plumbing calls, performs bounded intake, and gives a dispatcher a structured next action. PrimeArcTech configures, deploys, monitors, and maintains the system for the client.</w:t>
      </w:r>
    </w:p>
    <w:p>
      <w:pPr>
        <w:pStyle w:val="Heading1"/>
        <w:keepNext/>
      </w:pPr>
      <w:r>
        <w:rPr>
          <w:rFonts w:ascii="Calibri" w:hAnsi="Calibri"/>
          <w:color w:val="D8643E"/>
        </w:rPr>
        <w:t>2. Delivery and ownership model</w:t>
      </w:r>
    </w:p>
    <w:tbl>
      <w:tblPr>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Layer</w:t>
            </w:r>
          </w:p>
        </w:tc>
        <w:tc>
          <w:tcPr>
            <w:tcW w:type="dxa" w:w="23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Owner</w:t>
            </w:r>
          </w:p>
        </w:tc>
        <w:tc>
          <w:tcPr>
            <w:tcW w:type="dxa" w:w="51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Boundary</w:t>
            </w:r>
          </w:p>
        </w:tc>
      </w:tr>
      <w:tr>
        <w:tc>
          <w:tcPr>
            <w:tcW w:type="dxa" w:w="1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Shared product core</w:t>
            </w:r>
          </w:p>
        </w:tc>
        <w:tc>
          <w:tcPr>
            <w:tcW w:type="dxa" w:w="23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PrimeArcTech</w:t>
            </w:r>
          </w:p>
        </w:tc>
        <w:tc>
          <w:tcPr>
            <w:tcW w:type="dxa" w:w="51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Safety policy, call states, tool contracts, receipts, encryption, retention, tests</w:t>
            </w:r>
          </w:p>
        </w:tc>
      </w:tr>
      <w:tr>
        <w:tc>
          <w:tcPr>
            <w:tcW w:type="dxa" w:w="1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 configuration</w:t>
            </w:r>
          </w:p>
        </w:tc>
        <w:tc>
          <w:tcPr>
            <w:tcW w:type="dxa" w:w="23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 approves; PrimeArcTech manages</w:t>
            </w:r>
          </w:p>
        </w:tc>
        <w:tc>
          <w:tcPr>
            <w:tcW w:type="dxa" w:w="51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Services, ZIPs, hours, windows, notifications, handoff rules</w:t>
            </w:r>
          </w:p>
        </w:tc>
      </w:tr>
      <w:tr>
        <w:tc>
          <w:tcPr>
            <w:tcW w:type="dxa" w:w="1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Client deployment</w:t>
            </w:r>
          </w:p>
        </w:tc>
        <w:tc>
          <w:tcPr>
            <w:tcW w:type="dxa" w:w="23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PrimeArcTech</w:t>
            </w:r>
          </w:p>
        </w:tc>
        <w:tc>
          <w:tcPr>
            <w:tcW w:type="dxa" w:w="51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Dedicated Worker, D1, phone number, assistant binding, secrets, Access policy</w:t>
            </w:r>
          </w:p>
        </w:tc>
      </w:tr>
      <w:tr>
        <w:tc>
          <w:tcPr>
            <w:tcW w:type="dxa" w:w="1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 data</w:t>
            </w:r>
          </w:p>
        </w:tc>
        <w:tc>
          <w:tcPr>
            <w:tcW w:type="dxa" w:w="23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w:t>
            </w:r>
          </w:p>
        </w:tc>
        <w:tc>
          <w:tcPr>
            <w:tcW w:type="dxa" w:w="51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Call artifacts and approved operational configuration; export/deletion on exit</w:t>
            </w:r>
          </w:p>
        </w:tc>
      </w:tr>
    </w:tbl>
    <w:p>
      <w:pPr>
        <w:pStyle w:val="Heading1"/>
        <w:keepNext/>
      </w:pPr>
      <w:r>
        <w:rPr>
          <w:rFonts w:ascii="Calibri" w:hAnsi="Calibri"/>
          <w:color w:val="D8643E"/>
        </w:rPr>
        <w:t>3. Deployment topology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80" w:type="dxa"/>
              <w:start w:w="220" w:type="dxa"/>
              <w:bottom w:w="180" w:type="dxa"/>
              <w:end w:w="220" w:type="dxa"/>
            </w:tcMar>
            <w:shd w:fill="F6F5F1"/>
            <w:vAlign w:val="center"/>
          </w:tcPr>
          <w:p>
            <w:pPr>
              <w:keepNext w:val="0"/>
              <w:spacing w:before="0" w:after="100" w:line="240" w:lineRule="auto"/>
            </w:pPr>
            <w:r>
              <w:rPr>
                <w:rFonts w:ascii="Calibri" w:hAnsi="Calibri"/>
                <w:b/>
                <w:color w:val="D8643E"/>
                <w:sz w:val="20"/>
              </w:rPr>
              <w:t>FLOW</w:t>
            </w:r>
          </w:p>
          <w:p>
            <w:pPr>
              <w:keepNext w:val="0"/>
              <w:spacing w:before="0" w:after="0" w:line="300" w:lineRule="auto"/>
            </w:pPr>
            <w:r>
              <w:rPr>
                <w:rFonts w:ascii="Calibri" w:hAnsi="Calibri"/>
                <w:b/>
                <w:color w:val="111315"/>
                <w:sz w:val="23"/>
              </w:rPr>
              <w:t>Client caller -&gt; conditional forwarding -&gt; dedicated FieldRelay number -&gt; client Worker and D1 -&gt; policy/tool decision -&gt; receipt and human handoff -&gt; client dispatcher</w:t>
            </w:r>
          </w:p>
        </w:tc>
      </w:tr>
    </w:tbl>
    <w:tbl>
      <w:tblPr>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Surface</w:t>
            </w:r>
          </w:p>
        </w:tc>
        <w:tc>
          <w:tcPr>
            <w:tcW w:type="dxa" w:w="39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Resource model</w:t>
            </w:r>
          </w:p>
        </w:tc>
        <w:tc>
          <w:tcPr>
            <w:tcW w:type="dxa" w:w="35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Rule</w:t>
            </w:r>
          </w:p>
        </w:tc>
      </w:tr>
      <w:tr>
        <w:tc>
          <w:tcPr>
            <w:tcW w:type="dxa" w:w="1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Public website and demo</w:t>
            </w:r>
          </w:p>
        </w:tc>
        <w:tc>
          <w:tcPr>
            <w:tcW w:type="dxa" w:w="3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PrimeArcTech marketing stack</w:t>
            </w:r>
          </w:p>
        </w:tc>
        <w:tc>
          <w:tcPr>
            <w:tcW w:type="dxa" w:w="3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Never stores client production calls</w:t>
            </w:r>
          </w:p>
        </w:tc>
      </w:tr>
      <w:tr>
        <w:tc>
          <w:tcPr>
            <w:tcW w:type="dxa" w:w="1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Shared source</w:t>
            </w:r>
          </w:p>
        </w:tc>
        <w:tc>
          <w:tcPr>
            <w:tcW w:type="dxa" w:w="3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Private FieldRelay core repository</w:t>
            </w:r>
          </w:p>
        </w:tc>
        <w:tc>
          <w:tcPr>
            <w:tcW w:type="dxa" w:w="35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Versioned and tested once</w:t>
            </w:r>
          </w:p>
        </w:tc>
      </w:tr>
      <w:tr>
        <w:tc>
          <w:tcPr>
            <w:tcW w:type="dxa" w:w="1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Client staging</w:t>
            </w:r>
          </w:p>
        </w:tc>
        <w:tc>
          <w:tcPr>
            <w:tcW w:type="dxa" w:w="3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Dedicated Worker, D1, Vapi assistant/number, Access app</w:t>
            </w:r>
          </w:p>
        </w:tc>
        <w:tc>
          <w:tcPr>
            <w:tcW w:type="dxa" w:w="3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Fictional and approved test data</w:t>
            </w:r>
          </w:p>
        </w:tc>
      </w:tr>
      <w:tr>
        <w:tc>
          <w:tcPr>
            <w:tcW w:type="dxa" w:w="1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 production</w:t>
            </w:r>
          </w:p>
        </w:tc>
        <w:tc>
          <w:tcPr>
            <w:tcW w:type="dxa" w:w="3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New dedicated resources and secrets</w:t>
            </w:r>
          </w:p>
        </w:tc>
        <w:tc>
          <w:tcPr>
            <w:tcW w:type="dxa" w:w="35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No other client's operational data</w:t>
            </w:r>
          </w:p>
        </w:tc>
      </w:tr>
      <w:tr>
        <w:tc>
          <w:tcPr>
            <w:tcW w:type="dxa" w:w="1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Internal fleet view</w:t>
            </w:r>
          </w:p>
        </w:tc>
        <w:tc>
          <w:tcPr>
            <w:tcW w:type="dxa" w:w="3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Later; deployment metadata only</w:t>
            </w:r>
          </w:p>
        </w:tc>
        <w:tc>
          <w:tcPr>
            <w:tcW w:type="dxa" w:w="3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Health/version, never transcripts or caller PII</w:t>
            </w:r>
          </w:p>
        </w:tc>
      </w:tr>
    </w:tbl>
    <w:p>
      <w:pPr>
        <w:pStyle w:val="Heading1"/>
        <w:keepNext/>
      </w:pPr>
      <w:r>
        <w:rPr>
          <w:rFonts w:ascii="Calibri" w:hAnsi="Calibri"/>
          <w:color w:val="D8643E"/>
        </w:rPr>
        <w:t>4. MVP outcome and scope</w:t>
      </w:r>
    </w:p>
    <w:p>
      <w:pPr>
        <w:pStyle w:val="ListBullet"/>
        <w:keepNext w:val="0"/>
        <w:spacing w:before="0" w:after="80" w:line="278" w:lineRule="auto"/>
        <w:ind w:left="720" w:hanging="360"/>
      </w:pPr>
      <w:r>
        <w:rPr>
          <w:rFonts w:ascii="Calibri" w:hAnsi="Calibri"/>
          <w:color w:val="111315"/>
          <w:sz w:val="21"/>
        </w:rPr>
        <w:t>Provision one fictional staging deployment from a validated non-secret manifest.</w:t>
      </w:r>
    </w:p>
    <w:p>
      <w:pPr>
        <w:pStyle w:val="ListBullet"/>
        <w:keepNext w:val="0"/>
        <w:spacing w:before="0" w:after="80" w:line="278" w:lineRule="auto"/>
        <w:ind w:left="720" w:hanging="360"/>
      </w:pPr>
      <w:r>
        <w:rPr>
          <w:rFonts w:ascii="Calibri" w:hAnsi="Calibri"/>
          <w:color w:val="111315"/>
          <w:sz w:val="21"/>
        </w:rPr>
        <w:t>Run one real inbound vertical slice on a dedicated staging number.</w:t>
      </w:r>
    </w:p>
    <w:p>
      <w:pPr>
        <w:pStyle w:val="ListBullet"/>
        <w:keepNext w:val="0"/>
        <w:spacing w:before="0" w:after="80" w:line="278" w:lineRule="auto"/>
        <w:ind w:left="720" w:hanging="360"/>
      </w:pPr>
      <w:r>
        <w:rPr>
          <w:rFonts w:ascii="Calibri" w:hAnsi="Calibri"/>
          <w:color w:val="111315"/>
          <w:sz w:val="21"/>
        </w:rPr>
        <w:t>Produce safe qualification, service-area validation, provisional outcome, handoff, receipt, and operator review.</w:t>
      </w:r>
    </w:p>
    <w:p>
      <w:pPr>
        <w:pStyle w:val="ListBullet"/>
        <w:keepNext w:val="0"/>
        <w:spacing w:before="0" w:after="80" w:line="278" w:lineRule="auto"/>
        <w:ind w:left="720" w:hanging="360"/>
      </w:pPr>
      <w:r>
        <w:rPr>
          <w:rFonts w:ascii="Calibri" w:hAnsi="Calibri"/>
          <w:color w:val="111315"/>
          <w:sz w:val="21"/>
        </w:rPr>
        <w:t>Prove the same core can create a second isolated deployment without copying or editing the source.</w:t>
      </w:r>
    </w:p>
    <w:p>
      <w:pPr>
        <w:pStyle w:val="ListBullet"/>
        <w:keepNext w:val="0"/>
        <w:spacing w:before="0" w:after="80" w:line="278" w:lineRule="auto"/>
        <w:ind w:left="720" w:hanging="360"/>
      </w:pPr>
      <w:r>
        <w:rPr>
          <w:rFonts w:ascii="Calibri" w:hAnsi="Calibri"/>
          <w:color w:val="111315"/>
          <w:sz w:val="21"/>
        </w:rPr>
        <w:t>Pass 50 adversarial calls before any pilot forwards real customer traffic.</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MVP includes</w:t>
            </w:r>
          </w:p>
        </w:tc>
        <w:tc>
          <w:tcPr>
            <w:tcW w:type="dxa" w:w="468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MVP excludes</w:t>
            </w:r>
          </w:p>
        </w:tc>
      </w:tr>
      <w:tr>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Reusable deployment template and strict client configuration</w:t>
            </w:r>
          </w:p>
        </w:tc>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Public signup or self-service onboarding</w:t>
            </w:r>
          </w:p>
        </w:tc>
      </w:tr>
      <w:tr>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Dedicated client Worker, D1, number, secrets, and Access</w:t>
            </w:r>
          </w:p>
        </w:tc>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Shared customer database or tenant selector</w:t>
            </w:r>
          </w:p>
        </w:tc>
      </w:tr>
      <w:tr>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One client-specific adapter boundary</w:t>
            </w:r>
          </w:p>
        </w:tc>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CRM marketplace or generic integration builder</w:t>
            </w:r>
          </w:p>
        </w:tc>
      </w:tr>
      <w:tr>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PrimeArcTech admin plus read-only dispatcher access</w:t>
            </w:r>
          </w:p>
        </w:tc>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Customer billing, subscription plans, or white-label controls</w:t>
            </w:r>
          </w:p>
        </w:tc>
      </w:tr>
      <w:tr>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Monitoring, retention, release, and rollback runbooks</w:t>
            </w:r>
          </w:p>
        </w:tc>
        <w:tc>
          <w:tcPr>
            <w:tcW w:type="dxa" w:w="468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24/7 human support promise</w:t>
            </w:r>
          </w:p>
        </w:tc>
      </w:tr>
      <w:tr>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Conditional forwarding; no main-number porting</w:t>
            </w:r>
          </w:p>
        </w:tc>
        <w:tc>
          <w:tcPr>
            <w:tcW w:type="dxa" w:w="468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Confirmed appointments without an approved integration</w:t>
            </w:r>
          </w:p>
        </w:tc>
      </w:tr>
    </w:tbl>
    <w:p>
      <w:pPr>
        <w:pStyle w:val="Heading1"/>
        <w:keepNext/>
        <w:pageBreakBefore/>
      </w:pPr>
      <w:r>
        <w:rPr>
          <w:rFonts w:ascii="Calibri" w:hAnsi="Calibri"/>
          <w:color w:val="D8643E"/>
        </w:rPr>
        <w:t>5. Users and permissions</w:t>
      </w:r>
    </w:p>
    <w:tbl>
      <w:tblPr>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User</w:t>
            </w:r>
          </w:p>
        </w:tc>
        <w:tc>
          <w:tcPr>
            <w:tcW w:type="dxa" w:w="39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Can do</w:t>
            </w:r>
          </w:p>
        </w:tc>
        <w:tc>
          <w:tcPr>
            <w:tcW w:type="dxa" w:w="36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Cannot do</w:t>
            </w:r>
          </w:p>
        </w:tc>
      </w:tr>
      <w:tr>
        <w:tc>
          <w:tcPr>
            <w:tcW w:type="dxa" w:w="1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Caller</w:t>
            </w:r>
          </w:p>
        </w:tc>
        <w:tc>
          <w:tcPr>
            <w:tcW w:type="dxa" w:w="3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Complete bounded intake; request a person</w:t>
            </w:r>
          </w:p>
        </w:tc>
        <w:tc>
          <w:tcPr>
            <w:tcW w:type="dxa" w:w="36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Change policy, obtain diagnosis, firm price, or guaranteed booking</w:t>
            </w:r>
          </w:p>
        </w:tc>
      </w:tr>
      <w:tr>
        <w:tc>
          <w:tcPr>
            <w:tcW w:type="dxa" w:w="1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Client dispatcher</w:t>
            </w:r>
          </w:p>
        </w:tc>
        <w:tc>
          <w:tcPr>
            <w:tcW w:type="dxa" w:w="3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Read calls, receipts, policy events, and delivery state</w:t>
            </w:r>
          </w:p>
        </w:tc>
        <w:tc>
          <w:tcPr>
            <w:tcW w:type="dxa" w:w="36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Edit policy, integrations, service area, or secrets</w:t>
            </w:r>
          </w:p>
        </w:tc>
      </w:tr>
      <w:tr>
        <w:tc>
          <w:tcPr>
            <w:tcW w:type="dxa" w:w="1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PrimeArcTech admin</w:t>
            </w:r>
          </w:p>
        </w:tc>
        <w:tc>
          <w:tcPr>
            <w:tcW w:type="dxa" w:w="39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Edit validated deployment configuration and operate releases</w:t>
            </w:r>
          </w:p>
        </w:tc>
        <w:tc>
          <w:tcPr>
            <w:tcW w:type="dxa" w:w="36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Bypass immutable safety policy through UI</w:t>
            </w:r>
          </w:p>
        </w:tc>
      </w:tr>
      <w:tr>
        <w:tc>
          <w:tcPr>
            <w:tcW w:type="dxa" w:w="1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Deployment automation</w:t>
            </w:r>
          </w:p>
        </w:tc>
        <w:tc>
          <w:tcPr>
            <w:tcW w:type="dxa" w:w="39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Provision named resources from a non-secret manifest</w:t>
            </w:r>
          </w:p>
        </w:tc>
        <w:tc>
          <w:tcPr>
            <w:tcW w:type="dxa" w:w="36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Store or print secrets and caller data</w:t>
            </w:r>
          </w:p>
        </w:tc>
      </w:tr>
    </w:tbl>
    <w:p>
      <w:pPr>
        <w:pStyle w:val="Heading1"/>
        <w:keepNext/>
      </w:pPr>
      <w:r>
        <w:rPr>
          <w:rFonts w:ascii="Calibri" w:hAnsi="Calibri"/>
          <w:color w:val="D8643E"/>
        </w:rPr>
        <w:t>6. Primary call journey</w:t>
      </w:r>
    </w:p>
    <w:p>
      <w:pPr>
        <w:pStyle w:val="ListNumber"/>
        <w:keepNext w:val="0"/>
        <w:spacing w:before="0" w:after="100" w:line="278" w:lineRule="auto"/>
        <w:ind w:left="720" w:hanging="360"/>
      </w:pPr>
      <w:r>
        <w:rPr>
          <w:rFonts w:ascii="Calibri" w:hAnsi="Calibri"/>
          <w:color w:val="111315"/>
          <w:sz w:val="21"/>
        </w:rPr>
        <w:t>Answer on the dedicated client number and disclose AI assistance in the first turn.</w:t>
      </w:r>
    </w:p>
    <w:p>
      <w:pPr>
        <w:pStyle w:val="ListNumber"/>
        <w:keepNext w:val="0"/>
        <w:spacing w:before="0" w:after="100" w:line="278" w:lineRule="auto"/>
        <w:ind w:left="720" w:hanging="360"/>
      </w:pPr>
      <w:r>
        <w:rPr>
          <w:rFonts w:ascii="Calibri" w:hAnsi="Calibri"/>
          <w:color w:val="111315"/>
          <w:sz w:val="21"/>
        </w:rPr>
        <w:t>Screen immediate danger before routine intake.</w:t>
      </w:r>
    </w:p>
    <w:p>
      <w:pPr>
        <w:pStyle w:val="ListNumber"/>
        <w:keepNext w:val="0"/>
        <w:spacing w:before="0" w:after="100" w:line="278" w:lineRule="auto"/>
        <w:ind w:left="720" w:hanging="360"/>
      </w:pPr>
      <w:r>
        <w:rPr>
          <w:rFonts w:ascii="Calibri" w:hAnsi="Calibri"/>
          <w:color w:val="111315"/>
          <w:sz w:val="21"/>
        </w:rPr>
        <w:t>Collect trade, issue category, callback confirmation, location, ZIP, and preferred next action one answer at a time.</w:t>
      </w:r>
    </w:p>
    <w:p>
      <w:pPr>
        <w:pStyle w:val="ListNumber"/>
        <w:keepNext w:val="0"/>
        <w:spacing w:before="0" w:after="100" w:line="278" w:lineRule="auto"/>
        <w:ind w:left="720" w:hanging="360"/>
      </w:pPr>
      <w:r>
        <w:rPr>
          <w:rFonts w:ascii="Calibri" w:hAnsi="Calibri"/>
          <w:color w:val="111315"/>
          <w:sz w:val="21"/>
        </w:rPr>
        <w:t>Validate service area through the deployment-local server configuration; the model never guesses.</w:t>
      </w:r>
    </w:p>
    <w:p>
      <w:pPr>
        <w:pStyle w:val="ListNumber"/>
        <w:keepNext w:val="0"/>
        <w:spacing w:before="0" w:after="100" w:line="278" w:lineRule="auto"/>
        <w:ind w:left="720" w:hanging="360"/>
      </w:pPr>
      <w:r>
        <w:rPr>
          <w:rFonts w:ascii="Calibri" w:hAnsi="Calibri"/>
          <w:color w:val="111315"/>
          <w:sz w:val="21"/>
        </w:rPr>
        <w:t>Create only a provisional booking or callback outcome that requires dispatcher confirmation.</w:t>
      </w:r>
    </w:p>
    <w:p>
      <w:pPr>
        <w:pStyle w:val="ListNumber"/>
        <w:keepNext w:val="0"/>
        <w:spacing w:before="0" w:after="100" w:line="278" w:lineRule="auto"/>
        <w:ind w:left="720" w:hanging="360"/>
      </w:pPr>
      <w:r>
        <w:rPr>
          <w:rFonts w:ascii="Calibri" w:hAnsi="Calibri"/>
          <w:color w:val="111315"/>
          <w:sz w:val="21"/>
        </w:rPr>
        <w:t>Use the deployment-local handoff destination for danger, uncertainty, sensitivity, or explicit human request.</w:t>
      </w:r>
    </w:p>
    <w:p>
      <w:pPr>
        <w:pStyle w:val="ListNumber"/>
        <w:keepNext w:val="0"/>
        <w:spacing w:before="0" w:after="100" w:line="278" w:lineRule="auto"/>
        <w:ind w:left="720" w:hanging="360"/>
      </w:pPr>
      <w:r>
        <w:rPr>
          <w:rFonts w:ascii="Calibri" w:hAnsi="Calibri"/>
          <w:color w:val="111315"/>
          <w:sz w:val="21"/>
        </w:rPr>
        <w:t>Normalize end-of-call events, encrypt artifacts, generate one deterministic receipt, and enqueue minimal notification.</w:t>
      </w:r>
    </w:p>
    <w:p>
      <w:pPr>
        <w:pStyle w:val="Heading1"/>
        <w:keepNext/>
        <w:pageBreakBefore/>
      </w:pPr>
      <w:r>
        <w:rPr>
          <w:rFonts w:ascii="Calibri" w:hAnsi="Calibri"/>
          <w:color w:val="D8643E"/>
        </w:rPr>
        <w:t>7. Functional requirements</w:t>
      </w:r>
    </w:p>
    <w:tbl>
      <w:tblPr>
        <w:tblW w:type="dxa" w:w="9360"/>
        <w:jc w:val="left"/>
        <w:tblLayout w:type="fixed"/>
        <w:tblLook w:firstColumn="1" w:firstRow="1" w:lastColumn="0" w:lastRow="0" w:noHBand="0" w:noVBand="1" w:val="04A0"/>
        <w:tblInd w:w="120" w:type="dxa"/>
      </w:tblPr>
      <w:tblGrid>
        <w:gridCol w:w="850"/>
        <w:gridCol w:w="1650"/>
        <w:gridCol w:w="5860"/>
        <w:gridCol w:w="1000"/>
      </w:tblGrid>
      <w:tr>
        <w:trPr>
          <w:tblHeader w:val="true"/>
        </w:trPr>
        <w:tc>
          <w:tcPr>
            <w:tcW w:type="dxa" w:w="85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ID</w:t>
            </w:r>
          </w:p>
        </w:tc>
        <w:tc>
          <w:tcPr>
            <w:tcW w:type="dxa" w:w="165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Capability</w:t>
            </w:r>
          </w:p>
        </w:tc>
        <w:tc>
          <w:tcPr>
            <w:tcW w:type="dxa" w:w="58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Requirement</w:t>
            </w:r>
          </w:p>
        </w:tc>
        <w:tc>
          <w:tcPr>
            <w:tcW w:type="dxa" w:w="10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Priority</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FR-01</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Provisioning</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Validate a non-secret manifest and create isolated staging/production resource names.</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FR-02</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Configuration</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Store exactly one deployment configuration per client database; reject client-selection fields.</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FR-03</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Inbound answer</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Dedicated Vapi number routes to an immutable FieldRelay assistant version.</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FR-04</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Disclosure</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First turn states AI assistance and asks permission to continue.</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FR-05</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Danger screen</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Danger stops routine intake and invokes safe human routing.</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FR-06</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Service area</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Server returns supported, unsupported, or unavailable from client configuration.</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FR-07</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Provisional outcome</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Never claim confirmed booking, service, estimate, or transfer without provider proof.</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FR-08</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Artifacts</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Encrypt transcript and receipt with deployment-specific key context.</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FR-09</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Operator access</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Verify Access JWT and deployment-local allowlist; dispatcher remains read-only.</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FR-10</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Delivery</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Queue identifiers only; retry idempotently and preserve receipt on notification failure.</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P1</w:t>
            </w:r>
          </w:p>
        </w:tc>
      </w:tr>
      <w:tr>
        <w:tc>
          <w:tcPr>
            <w:tcW w:type="dxa" w:w="8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FR-11</w:t>
            </w:r>
          </w:p>
        </w:tc>
        <w:tc>
          <w:tcPr>
            <w:tcW w:type="dxa" w:w="165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Observability</w:t>
            </w:r>
          </w:p>
        </w:tc>
        <w:tc>
          <w:tcPr>
            <w:tcW w:type="dxa" w:w="586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Log IDs, latency, state, version, and failure code only; never caller PII.</w:t>
            </w:r>
          </w:p>
        </w:tc>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5"/>
              </w:rPr>
              <w:t>P0</w:t>
            </w:r>
          </w:p>
        </w:tc>
      </w:tr>
      <w:tr>
        <w:tc>
          <w:tcPr>
            <w:tcW w:type="dxa" w:w="8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FR-12</w:t>
            </w:r>
          </w:p>
        </w:tc>
        <w:tc>
          <w:tcPr>
            <w:tcW w:type="dxa" w:w="16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Rollback</w:t>
            </w:r>
          </w:p>
        </w:tc>
        <w:tc>
          <w:tcPr>
            <w:tcW w:type="dxa" w:w="58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Disable forwarding and restore prior Worker/assistant version without touching client main number.</w:t>
            </w:r>
          </w:p>
        </w:tc>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5"/>
              </w:rPr>
              <w:t>P0</w:t>
            </w:r>
          </w:p>
        </w:tc>
      </w:tr>
    </w:tbl>
    <w:p>
      <w:pPr>
        <w:pStyle w:val="Heading1"/>
        <w:keepNext/>
        <w:pageBreakBefore/>
      </w:pPr>
      <w:r>
        <w:rPr>
          <w:rFonts w:ascii="Calibri" w:hAnsi="Calibri"/>
          <w:color w:val="D8643E"/>
        </w:rPr>
        <w:t>8. Configuration versus customization</w:t>
      </w:r>
    </w:p>
    <w:tbl>
      <w:tblPr>
        <w:tblW w:type="dxa" w:w="9360"/>
        <w:jc w:val="left"/>
        <w:tblLayout w:type="fixed"/>
        <w:tblLook w:firstColumn="1" w:firstRow="1" w:lastColumn="0" w:lastRow="0" w:noHBand="0" w:noVBand="1" w:val="04A0"/>
        <w:tblInd w:w="120" w:type="dxa"/>
      </w:tblPr>
      <w:tblGrid>
        <w:gridCol w:w="2800"/>
        <w:gridCol w:w="3600"/>
        <w:gridCol w:w="2960"/>
      </w:tblGrid>
      <w:tr>
        <w:trPr>
          <w:tblHeader w:val="true"/>
        </w:trPr>
        <w:tc>
          <w:tcPr>
            <w:tcW w:type="dxa" w:w="28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Request</w:t>
            </w:r>
          </w:p>
        </w:tc>
        <w:tc>
          <w:tcPr>
            <w:tcW w:type="dxa" w:w="36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Treatment</w:t>
            </w:r>
          </w:p>
        </w:tc>
        <w:tc>
          <w:tcPr>
            <w:tcW w:type="dxa" w:w="29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Commercial handling</w:t>
            </w:r>
          </w:p>
        </w:tc>
      </w:tr>
      <w:tr>
        <w:tc>
          <w:tcPr>
            <w:tcW w:type="dxa" w:w="2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Hours, ZIPs, services, provisional windows</w:t>
            </w:r>
          </w:p>
        </w:tc>
        <w:tc>
          <w:tcPr>
            <w:tcW w:type="dxa" w:w="36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Validated configuration</w:t>
            </w:r>
          </w:p>
        </w:tc>
        <w:tc>
          <w:tcPr>
            <w:tcW w:type="dxa" w:w="29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Standard onboarding/change window</w:t>
            </w:r>
          </w:p>
        </w:tc>
      </w:tr>
      <w:tr>
        <w:tc>
          <w:tcPr>
            <w:tcW w:type="dxa" w:w="2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Supported CRM/calendar adapter</w:t>
            </w:r>
          </w:p>
        </w:tc>
        <w:tc>
          <w:tcPr>
            <w:tcW w:type="dxa" w:w="36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Select and configure adapter</w:t>
            </w:r>
          </w:p>
        </w:tc>
        <w:tc>
          <w:tcPr>
            <w:tcW w:type="dxa" w:w="2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Quoted integration package</w:t>
            </w:r>
          </w:p>
        </w:tc>
      </w:tr>
      <w:tr>
        <w:tc>
          <w:tcPr>
            <w:tcW w:type="dxa" w:w="2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New external system</w:t>
            </w:r>
          </w:p>
        </w:tc>
        <w:tc>
          <w:tcPr>
            <w:tcW w:type="dxa" w:w="36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Build adapter behind stable interface</w:t>
            </w:r>
          </w:p>
        </w:tc>
        <w:tc>
          <w:tcPr>
            <w:tcW w:type="dxa" w:w="29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Separate scope and acceptance tests</w:t>
            </w:r>
          </w:p>
        </w:tc>
      </w:tr>
      <w:tr>
        <w:tc>
          <w:tcPr>
            <w:tcW w:type="dxa" w:w="2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Different safety or pricing behavior</w:t>
            </w:r>
          </w:p>
        </w:tc>
        <w:tc>
          <w:tcPr>
            <w:tcW w:type="dxa" w:w="36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Reject or evaluate as core product decision</w:t>
            </w:r>
          </w:p>
        </w:tc>
        <w:tc>
          <w:tcPr>
            <w:tcW w:type="dxa" w:w="2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Never informal prompt edit</w:t>
            </w:r>
          </w:p>
        </w:tc>
      </w:tr>
      <w:tr>
        <w:tc>
          <w:tcPr>
            <w:tcW w:type="dxa" w:w="2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Unrelated general-purpose agent</w:t>
            </w:r>
          </w:p>
        </w:tc>
        <w:tc>
          <w:tcPr>
            <w:tcW w:type="dxa" w:w="36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New PrimeArcTech project</w:t>
            </w:r>
          </w:p>
        </w:tc>
        <w:tc>
          <w:tcPr>
            <w:tcW w:type="dxa" w:w="29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Not FieldRelay scope</w:t>
            </w:r>
          </w:p>
        </w:tc>
      </w:tr>
    </w:tbl>
    <w:p>
      <w:pPr>
        <w:pStyle w:val="Heading1"/>
        <w:keepNext/>
      </w:pPr>
      <w:r>
        <w:rPr>
          <w:rFonts w:ascii="Calibri" w:hAnsi="Calibri"/>
          <w:color w:val="D8643E"/>
        </w:rPr>
        <w:t>9. Data model</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Record</w:t>
            </w:r>
          </w:p>
        </w:tc>
        <w:tc>
          <w:tcPr>
            <w:tcW w:type="dxa" w:w="69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Minimum fields</w:t>
            </w:r>
          </w:p>
        </w:tc>
      </w:tr>
      <w:tr>
        <w:tc>
          <w:tcPr>
            <w:tcW w:type="dxa" w:w="24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deployment_config</w:t>
            </w:r>
          </w:p>
        </w:tc>
        <w:tc>
          <w:tcPr>
            <w:tcW w:type="dxa" w:w="69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Singleton client config, deployment ID, client slug, policy/version</w:t>
            </w:r>
          </w:p>
        </w:tc>
      </w:tr>
      <w:tr>
        <w:tc>
          <w:tcPr>
            <w:tcW w:type="dxa" w:w="24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provider_bindings</w:t>
            </w:r>
          </w:p>
        </w:tc>
        <w:tc>
          <w:tcPr>
            <w:tcW w:type="dxa" w:w="6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Dedicated provider phone ID, assistant version, status</w:t>
            </w:r>
          </w:p>
        </w:tc>
      </w:tr>
      <w:tr>
        <w:tc>
          <w:tcPr>
            <w:tcW w:type="dxa" w:w="24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operator_members</w:t>
            </w:r>
          </w:p>
        </w:tc>
        <w:tc>
          <w:tcPr>
            <w:tcW w:type="dxa" w:w="69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Deployment-local normalized email, role, active state</w:t>
            </w:r>
          </w:p>
        </w:tc>
      </w:tr>
      <w:tr>
        <w:tc>
          <w:tcPr>
            <w:tcW w:type="dxa" w:w="24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calls</w:t>
            </w:r>
          </w:p>
        </w:tc>
        <w:tc>
          <w:tcPr>
            <w:tcW w:type="dxa" w:w="6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Provider call ID, lifecycle state, disposition, urgency, failure code</w:t>
            </w:r>
          </w:p>
        </w:tc>
      </w:tr>
      <w:tr>
        <w:tc>
          <w:tcPr>
            <w:tcW w:type="dxa" w:w="24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call_events</w:t>
            </w:r>
          </w:p>
        </w:tc>
        <w:tc>
          <w:tcPr>
            <w:tcW w:type="dxa" w:w="69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Idempotency key, event/tool, success, failure code; no transcript text</w:t>
            </w:r>
          </w:p>
        </w:tc>
      </w:tr>
      <w:tr>
        <w:tc>
          <w:tcPr>
            <w:tcW w:type="dxa" w:w="24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receipts</w:t>
            </w:r>
          </w:p>
        </w:tc>
        <w:tc>
          <w:tcPr>
            <w:tcW w:type="dxa" w:w="6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Encrypted payload plus searchable non-PII disposition fields</w:t>
            </w:r>
          </w:p>
        </w:tc>
      </w:tr>
      <w:tr>
        <w:tc>
          <w:tcPr>
            <w:tcW w:type="dxa" w:w="24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transcript_artifacts</w:t>
            </w:r>
          </w:p>
        </w:tc>
        <w:tc>
          <w:tcPr>
            <w:tcW w:type="dxa" w:w="69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Encrypted transcript, key version, expiry</w:t>
            </w:r>
          </w:p>
        </w:tc>
      </w:tr>
      <w:tr>
        <w:tc>
          <w:tcPr>
            <w:tcW w:type="dxa" w:w="24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deliveries</w:t>
            </w:r>
          </w:p>
        </w:tc>
        <w:tc>
          <w:tcPr>
            <w:tcW w:type="dxa" w:w="69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Channel, attempts, provider message ID, last failure</w:t>
            </w:r>
          </w:p>
        </w:tc>
      </w:tr>
    </w:tbl>
    <w:p>
      <w:pPr>
        <w:pStyle w:val="Heading1"/>
        <w:keepNext/>
        <w:pageBreakBefore/>
      </w:pPr>
      <w:r>
        <w:rPr>
          <w:rFonts w:ascii="Calibri" w:hAnsi="Calibri"/>
          <w:color w:val="D8643E"/>
        </w:rPr>
        <w:t>10. API contract</w:t>
      </w:r>
    </w:p>
    <w:tbl>
      <w:tblPr>
        <w:tblW w:type="dxa" w:w="9360"/>
        <w:jc w:val="left"/>
        <w:tblLayout w:type="fixed"/>
        <w:tblLook w:firstColumn="1" w:firstRow="1" w:lastColumn="0" w:lastRow="0" w:noHBand="0" w:noVBand="1" w:val="04A0"/>
        <w:tblInd w:w="120" w:type="dxa"/>
      </w:tblPr>
      <w:tblGrid>
        <w:gridCol w:w="3000"/>
        <w:gridCol w:w="2350"/>
        <w:gridCol w:w="4010"/>
      </w:tblGrid>
      <w:tr>
        <w:trPr>
          <w:tblHeader w:val="true"/>
        </w:trPr>
        <w:tc>
          <w:tcPr>
            <w:tcW w:type="dxa" w:w="30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Endpoint</w:t>
            </w:r>
          </w:p>
        </w:tc>
        <w:tc>
          <w:tcPr>
            <w:tcW w:type="dxa" w:w="235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Protection</w:t>
            </w:r>
          </w:p>
        </w:tc>
        <w:tc>
          <w:tcPr>
            <w:tcW w:type="dxa" w:w="401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Purpose</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POST /api/fieldrelay/vapi</w:t>
            </w:r>
          </w:p>
        </w:tc>
        <w:tc>
          <w:tcPr>
            <w:tcW w:type="dxa" w:w="235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Vapi webhook secret</w:t>
            </w:r>
          </w:p>
        </w:tc>
        <w:tc>
          <w:tcPr>
            <w:tcW w:type="dxa" w:w="401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Assistant request, tools, status, transfer, end report</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GET /api/fieldrelay/operator/config</w:t>
            </w:r>
          </w:p>
        </w:tc>
        <w:tc>
          <w:tcPr>
            <w:tcW w:type="dxa" w:w="23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Access JWT + local allowlist</w:t>
            </w:r>
          </w:p>
        </w:tc>
        <w:tc>
          <w:tcPr>
            <w:tcW w:type="dxa" w:w="401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Current isolated deployment configuration</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PUT /api/fieldrelay/operator/config</w:t>
            </w:r>
          </w:p>
        </w:tc>
        <w:tc>
          <w:tcPr>
            <w:tcW w:type="dxa" w:w="235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PrimeArcTech admin</w:t>
            </w:r>
          </w:p>
        </w:tc>
        <w:tc>
          <w:tcPr>
            <w:tcW w:type="dxa" w:w="401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Strict validated configuration update with version check</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GET /api/fieldrelay/operator/calls</w:t>
            </w:r>
          </w:p>
        </w:tc>
        <w:tc>
          <w:tcPr>
            <w:tcW w:type="dxa" w:w="23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Access JWT + local allowlist</w:t>
            </w:r>
          </w:p>
        </w:tc>
        <w:tc>
          <w:tcPr>
            <w:tcW w:type="dxa" w:w="401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Recent calls in this deployment only</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GET /api/fieldrelay/operator/calls/:id</w:t>
            </w:r>
          </w:p>
        </w:tc>
        <w:tc>
          <w:tcPr>
            <w:tcW w:type="dxa" w:w="235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Access JWT + local allowlist</w:t>
            </w:r>
          </w:p>
        </w:tc>
        <w:tc>
          <w:tcPr>
            <w:tcW w:type="dxa" w:w="401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Decrypted receipt, transcript, events, delivery</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GET /api/health</w:t>
            </w:r>
          </w:p>
        </w:tc>
        <w:tc>
          <w:tcPr>
            <w:tcW w:type="dxa" w:w="235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Public</w:t>
            </w:r>
          </w:p>
        </w:tc>
        <w:tc>
          <w:tcPr>
            <w:tcW w:type="dxa" w:w="401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Readiness booleans only; no client or provider details</w:t>
            </w:r>
          </w:p>
        </w:tc>
      </w:tr>
    </w:tbl>
    <w:p>
      <w:pPr>
        <w:pStyle w:val="Heading1"/>
        <w:keepNext/>
      </w:pPr>
      <w:r>
        <w:rPr>
          <w:rFonts w:ascii="Calibri" w:hAnsi="Calibri"/>
          <w:color w:val="D8643E"/>
        </w:rPr>
        <w:t>11. Security and isolation</w:t>
      </w:r>
    </w:p>
    <w:p>
      <w:pPr>
        <w:pStyle w:val="ListBullet"/>
        <w:keepNext w:val="0"/>
        <w:spacing w:before="0" w:after="80" w:line="278" w:lineRule="auto"/>
        <w:ind w:left="720" w:hanging="360"/>
      </w:pPr>
      <w:r>
        <w:rPr>
          <w:rFonts w:ascii="Calibri" w:hAnsi="Calibri"/>
          <w:color w:val="111315"/>
          <w:sz w:val="21"/>
        </w:rPr>
        <w:t>One production client per Worker, D1 database, encryption key, secrets set, Access application, phone number, and monitoring namespace.</w:t>
      </w:r>
    </w:p>
    <w:p>
      <w:pPr>
        <w:pStyle w:val="ListBullet"/>
        <w:keepNext w:val="0"/>
        <w:spacing w:before="0" w:after="80" w:line="278" w:lineRule="auto"/>
        <w:ind w:left="720" w:hanging="360"/>
      </w:pPr>
      <w:r>
        <w:rPr>
          <w:rFonts w:ascii="Calibri" w:hAnsi="Calibri"/>
          <w:color w:val="111315"/>
          <w:sz w:val="21"/>
        </w:rPr>
        <w:t>The runtime never accepts tenant or deployment identity from model tool arguments; the deployment is fixed by infrastructure.</w:t>
      </w:r>
    </w:p>
    <w:p>
      <w:pPr>
        <w:pStyle w:val="ListBullet"/>
        <w:keepNext w:val="0"/>
        <w:spacing w:before="0" w:after="80" w:line="278" w:lineRule="auto"/>
        <w:ind w:left="720" w:hanging="360"/>
      </w:pPr>
      <w:r>
        <w:rPr>
          <w:rFonts w:ascii="Calibri" w:hAnsi="Calibri"/>
          <w:color w:val="111315"/>
          <w:sz w:val="21"/>
        </w:rPr>
        <w:t>Vapi private key and integration credentials remain server-only. Configuration UI never displays secrets.</w:t>
      </w:r>
    </w:p>
    <w:p>
      <w:pPr>
        <w:pStyle w:val="ListBullet"/>
        <w:keepNext w:val="0"/>
        <w:spacing w:before="0" w:after="80" w:line="278" w:lineRule="auto"/>
        <w:ind w:left="720" w:hanging="360"/>
      </w:pPr>
      <w:r>
        <w:rPr>
          <w:rFonts w:ascii="Calibri" w:hAnsi="Calibri"/>
          <w:color w:val="111315"/>
          <w:sz w:val="21"/>
        </w:rPr>
        <w:t>Recording remains disabled. Transcript defaults to seven days and identifiable receipts to 30 days unless agreement requires less.</w:t>
      </w:r>
    </w:p>
    <w:p>
      <w:pPr>
        <w:pStyle w:val="ListBullet"/>
        <w:keepNext w:val="0"/>
        <w:spacing w:before="0" w:after="80" w:line="278" w:lineRule="auto"/>
        <w:ind w:left="720" w:hanging="360"/>
      </w:pPr>
      <w:r>
        <w:rPr>
          <w:rFonts w:ascii="Calibri" w:hAnsi="Calibri"/>
          <w:color w:val="111315"/>
          <w:sz w:val="21"/>
        </w:rPr>
        <w:t>Logs and analytics exclude transcript, caller text, address, phone, email, ZIP, and client credentials.</w:t>
      </w:r>
    </w:p>
    <w:p>
      <w:pPr>
        <w:pStyle w:val="ListBullet"/>
        <w:keepNext w:val="0"/>
        <w:spacing w:before="0" w:after="80" w:line="278" w:lineRule="auto"/>
        <w:ind w:left="720" w:hanging="360"/>
      </w:pPr>
      <w:r>
        <w:rPr>
          <w:rFonts w:ascii="Calibri" w:hAnsi="Calibri"/>
          <w:color w:val="111315"/>
          <w:sz w:val="21"/>
        </w:rPr>
        <w:t>A future fleet view may store deployment health and version only; it may not become a backdoor shared PII database.</w:t>
      </w:r>
    </w:p>
    <w:p>
      <w:pPr>
        <w:pStyle w:val="Heading1"/>
        <w:keepNext/>
        <w:pageBreakBefore/>
      </w:pPr>
      <w:r>
        <w:rPr>
          <w:rFonts w:ascii="Calibri" w:hAnsi="Calibri"/>
          <w:color w:val="D8643E"/>
        </w:rPr>
        <w:t>12. Failure and rollback behavior</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Failure</w:t>
            </w:r>
          </w:p>
        </w:tc>
        <w:tc>
          <w:tcPr>
            <w:tcW w:type="dxa" w:w="63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Required behavior</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Provider/model unavailable</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Apologize, capture callback if safe, mark provider failure</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Service-area tool timeout</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Do not promise coverage; create manual-review outcome</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Transfer unavailable</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State failure; create urgent callback and receipt</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Notification failure</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Keep stored receipt; retry idempotently; show delivery failure</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Bad release</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Restore previous Worker and assistant version</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Unsafe or sustained outage</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Disable conditional forwarding; client primary number remains unchanged</w:t>
            </w:r>
          </w:p>
        </w:tc>
      </w:tr>
    </w:tbl>
    <w:p>
      <w:pPr>
        <w:pStyle w:val="Heading1"/>
        <w:keepNext/>
        <w:pageBreakBefore/>
      </w:pPr>
      <w:r>
        <w:rPr>
          <w:rFonts w:ascii="Calibri" w:hAnsi="Calibri"/>
          <w:color w:val="D8643E"/>
        </w:rPr>
        <w:t>13. Ten-day build plan</w:t>
      </w:r>
    </w:p>
    <w:tbl>
      <w:tblPr>
        <w:tblW w:type="dxa" w:w="9360"/>
        <w:jc w:val="left"/>
        <w:tblLayout w:type="fixed"/>
        <w:tblLook w:firstColumn="1" w:firstRow="1" w:lastColumn="0" w:lastRow="0" w:noHBand="0" w:noVBand="1" w:val="04A0"/>
        <w:tblInd w:w="120" w:type="dxa"/>
      </w:tblPr>
      <w:tblGrid>
        <w:gridCol w:w="1000"/>
        <w:gridCol w:w="6260"/>
        <w:gridCol w:w="2100"/>
      </w:tblGrid>
      <w:tr>
        <w:trPr>
          <w:tblHeader w:val="true"/>
        </w:trPr>
        <w:tc>
          <w:tcPr>
            <w:tcW w:type="dxa" w:w="10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Day</w:t>
            </w:r>
          </w:p>
        </w:tc>
        <w:tc>
          <w:tcPr>
            <w:tcW w:type="dxa" w:w="62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Output</w:t>
            </w:r>
          </w:p>
        </w:tc>
        <w:tc>
          <w:tcPr>
            <w:tcW w:type="dxa" w:w="21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Owner</w:t>
            </w:r>
          </w:p>
        </w:tc>
      </w:tr>
      <w:tr>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Day 1</w:t>
            </w:r>
          </w:p>
        </w:tc>
        <w:tc>
          <w:tcPr>
            <w:tcW w:type="dxa" w:w="62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Freeze SaaS expansion; lock config schema, immutable policy, acceptance tests</w:t>
            </w:r>
          </w:p>
        </w:tc>
        <w:tc>
          <w:tcPr>
            <w:tcW w:type="dxa" w:w="21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All</w:t>
            </w:r>
          </w:p>
        </w:tc>
      </w:tr>
      <w:tr>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Day 2</w:t>
            </w:r>
          </w:p>
        </w:tc>
        <w:tc>
          <w:tcPr>
            <w:tcW w:type="dxa" w:w="62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Dedicated-client schema, encryption context, operator allowlist, migration</w:t>
            </w:r>
          </w:p>
        </w:tc>
        <w:tc>
          <w:tcPr>
            <w:tcW w:type="dxa" w:w="21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Backend + full-stack</w:t>
            </w:r>
          </w:p>
        </w:tc>
      </w:tr>
      <w:tr>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Day 3</w:t>
            </w:r>
          </w:p>
        </w:tc>
        <w:tc>
          <w:tcPr>
            <w:tcW w:type="dxa" w:w="62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Manifest validator and repeatable staging deployment template</w:t>
            </w:r>
          </w:p>
        </w:tc>
        <w:tc>
          <w:tcPr>
            <w:tcW w:type="dxa" w:w="21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Full-stack</w:t>
            </w:r>
          </w:p>
        </w:tc>
      </w:tr>
      <w:tr>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Day 4</w:t>
            </w:r>
          </w:p>
        </w:tc>
        <w:tc>
          <w:tcPr>
            <w:tcW w:type="dxa" w:w="62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Inbound Vapi call, disclosure, authenticated lifecycle events</w:t>
            </w:r>
          </w:p>
        </w:tc>
        <w:tc>
          <w:tcPr>
            <w:tcW w:type="dxa" w:w="21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Voice/backend</w:t>
            </w:r>
          </w:p>
        </w:tc>
      </w:tr>
      <w:tr>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Day 5</w:t>
            </w:r>
          </w:p>
        </w:tc>
        <w:tc>
          <w:tcPr>
            <w:tcW w:type="dxa" w:w="62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Qualification, service-area validation, provisional state machine</w:t>
            </w:r>
          </w:p>
        </w:tc>
        <w:tc>
          <w:tcPr>
            <w:tcW w:type="dxa" w:w="21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Voice/backend + QA</w:t>
            </w:r>
          </w:p>
        </w:tc>
      </w:tr>
      <w:tr>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Day 6</w:t>
            </w:r>
          </w:p>
        </w:tc>
        <w:tc>
          <w:tcPr>
            <w:tcW w:type="dxa" w:w="62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Transfer, failure fallback, deterministic receipt, encrypted artifacts</w:t>
            </w:r>
          </w:p>
        </w:tc>
        <w:tc>
          <w:tcPr>
            <w:tcW w:type="dxa" w:w="21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Backend + full-stack</w:t>
            </w:r>
          </w:p>
        </w:tc>
      </w:tr>
      <w:tr>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Day 7</w:t>
            </w:r>
          </w:p>
        </w:tc>
        <w:tc>
          <w:tcPr>
            <w:tcW w:type="dxa" w:w="62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Queue/email delivery and protected operator call view</w:t>
            </w:r>
          </w:p>
        </w:tc>
        <w:tc>
          <w:tcPr>
            <w:tcW w:type="dxa" w:w="21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Full-stack</w:t>
            </w:r>
          </w:p>
        </w:tc>
      </w:tr>
      <w:tr>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Day 8</w:t>
            </w:r>
          </w:p>
        </w:tc>
        <w:tc>
          <w:tcPr>
            <w:tcW w:type="dxa" w:w="62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Failure injection, retention, PII-free observability, rollback</w:t>
            </w:r>
          </w:p>
        </w:tc>
        <w:tc>
          <w:tcPr>
            <w:tcW w:type="dxa" w:w="21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QA + all</w:t>
            </w:r>
          </w:p>
        </w:tc>
      </w:tr>
      <w:tr>
        <w:tc>
          <w:tcPr>
            <w:tcW w:type="dxa" w:w="1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Day 9</w:t>
            </w:r>
          </w:p>
        </w:tc>
        <w:tc>
          <w:tcPr>
            <w:tcW w:type="dxa" w:w="62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Provision a second fictional stack from the same source; compare isolation</w:t>
            </w:r>
          </w:p>
        </w:tc>
        <w:tc>
          <w:tcPr>
            <w:tcW w:type="dxa" w:w="21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All</w:t>
            </w:r>
          </w:p>
        </w:tc>
      </w:tr>
      <w:tr>
        <w:tc>
          <w:tcPr>
            <w:tcW w:type="dxa" w:w="1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Day 10</w:t>
            </w:r>
          </w:p>
        </w:tc>
        <w:tc>
          <w:tcPr>
            <w:tcW w:type="dxa" w:w="62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50-call gate, runbooks, pilot rehearsal, release decision</w:t>
            </w:r>
          </w:p>
        </w:tc>
        <w:tc>
          <w:tcPr>
            <w:tcW w:type="dxa" w:w="21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All</w:t>
            </w:r>
          </w:p>
        </w:tc>
      </w:tr>
    </w:tbl>
    <w:p>
      <w:pPr>
        <w:pStyle w:val="Heading1"/>
        <w:keepNext/>
      </w:pPr>
      <w:r>
        <w:rPr>
          <w:rFonts w:ascii="Calibri" w:hAnsi="Calibri"/>
          <w:color w:val="D8643E"/>
        </w:rPr>
        <w:t>14. Client onboarding and launch</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Gate</w:t>
            </w:r>
          </w:p>
        </w:tc>
        <w:tc>
          <w:tcPr>
            <w:tcW w:type="dxa" w:w="75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Action</w:t>
            </w:r>
          </w:p>
        </w:tc>
      </w:tr>
      <w:tr>
        <w:tc>
          <w:tcPr>
            <w:tcW w:type="dxa" w:w="1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Discover</w:t>
            </w:r>
          </w:p>
        </w:tc>
        <w:tc>
          <w:tcPr>
            <w:tcW w:type="dxa" w:w="7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Approve services, hours, ZIPs, handoff, notifications, integration, retention, and legal disclosure.</w:t>
            </w:r>
          </w:p>
        </w:tc>
      </w:tr>
      <w:tr>
        <w:tc>
          <w:tcPr>
            <w:tcW w:type="dxa" w:w="1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Stage</w:t>
            </w:r>
          </w:p>
        </w:tc>
        <w:tc>
          <w:tcPr>
            <w:tcW w:type="dxa" w:w="75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Create dedicated staging resources; seed configuration and allowlisted operators.</w:t>
            </w:r>
          </w:p>
        </w:tc>
      </w:tr>
      <w:tr>
        <w:tc>
          <w:tcPr>
            <w:tcW w:type="dxa" w:w="1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Prove</w:t>
            </w:r>
          </w:p>
        </w:tc>
        <w:tc>
          <w:tcPr>
            <w:tcW w:type="dxa" w:w="7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Run routine, boundary, pricing, danger, transfer, injection, duplicate-event, and provider-failure tests.</w:t>
            </w:r>
          </w:p>
        </w:tc>
      </w:tr>
      <w:tr>
        <w:tc>
          <w:tcPr>
            <w:tcW w:type="dxa" w:w="1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Promote</w:t>
            </w:r>
          </w:p>
        </w:tc>
        <w:tc>
          <w:tcPr>
            <w:tcW w:type="dxa" w:w="75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Create production resources from the same template with new secrets; never clone staging data.</w:t>
            </w:r>
          </w:p>
        </w:tc>
      </w:tr>
      <w:tr>
        <w:tc>
          <w:tcPr>
            <w:tcW w:type="dxa" w:w="18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Forward</w:t>
            </w:r>
          </w:p>
        </w:tc>
        <w:tc>
          <w:tcPr>
            <w:tcW w:type="dxa" w:w="75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Enable conditional forwarding after live smoke tests and confirmed loop prevention.</w:t>
            </w:r>
          </w:p>
        </w:tc>
      </w:tr>
      <w:tr>
        <w:tc>
          <w:tcPr>
            <w:tcW w:type="dxa" w:w="18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Observe</w:t>
            </w:r>
          </w:p>
        </w:tc>
        <w:tc>
          <w:tcPr>
            <w:tcW w:type="dxa" w:w="75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Monitor the first 72 hours; rollback by disabling forwarding and restoring the prior version.</w:t>
            </w:r>
          </w:p>
        </w:tc>
      </w:tr>
    </w:tbl>
    <w:p>
      <w:pPr>
        <w:pStyle w:val="Heading1"/>
        <w:keepNext/>
      </w:pPr>
      <w:r>
        <w:rPr>
          <w:rFonts w:ascii="Calibri" w:hAnsi="Calibri"/>
          <w:color w:val="D8643E"/>
        </w:rPr>
        <w:t>15. Maintenance and operating targets</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Cadence</w:t>
            </w:r>
          </w:p>
        </w:tc>
        <w:tc>
          <w:tcPr>
            <w:tcW w:type="dxa" w:w="71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PrimeArcTech action</w:t>
            </w:r>
          </w:p>
        </w:tc>
      </w:tr>
      <w:tr>
        <w:tc>
          <w:tcPr>
            <w:tcW w:type="dxa" w:w="22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Continuous</w:t>
            </w:r>
          </w:p>
        </w:tc>
        <w:tc>
          <w:tcPr>
            <w:tcW w:type="dxa" w:w="71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Alert on connect/tool/transfer/delivery failures, latency, deployment health, and provider spend</w:t>
            </w:r>
          </w:p>
        </w:tc>
      </w:tr>
      <w:tr>
        <w:tc>
          <w:tcPr>
            <w:tcW w:type="dxa" w:w="22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First 72 hours</w:t>
            </w:r>
          </w:p>
        </w:tc>
        <w:tc>
          <w:tcPr>
            <w:tcW w:type="dxa" w:w="71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Active manual review and daily client update</w:t>
            </w:r>
          </w:p>
        </w:tc>
      </w:tr>
      <w:tr>
        <w:tc>
          <w:tcPr>
            <w:tcW w:type="dxa" w:w="22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First two weeks</w:t>
            </w:r>
          </w:p>
        </w:tc>
        <w:tc>
          <w:tcPr>
            <w:tcW w:type="dxa" w:w="71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Daily quality sampling and policy exception review</w:t>
            </w:r>
          </w:p>
        </w:tc>
      </w:tr>
      <w:tr>
        <w:tc>
          <w:tcPr>
            <w:tcW w:type="dxa" w:w="22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First month</w:t>
            </w:r>
          </w:p>
        </w:tc>
        <w:tc>
          <w:tcPr>
            <w:tcW w:type="dxa" w:w="71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Weekly operational review and controlled change window</w:t>
            </w:r>
          </w:p>
        </w:tc>
      </w:tr>
      <w:tr>
        <w:tc>
          <w:tcPr>
            <w:tcW w:type="dxa" w:w="22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Stable operation</w:t>
            </w:r>
          </w:p>
        </w:tc>
        <w:tc>
          <w:tcPr>
            <w:tcW w:type="dxa" w:w="71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Monthly review; quarterly secret, policy, retention, and recovery check</w:t>
            </w:r>
          </w:p>
        </w:tc>
      </w:tr>
      <w:tr>
        <w:tc>
          <w:tcPr>
            <w:tcW w:type="dxa" w:w="22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Every release</w:t>
            </w:r>
          </w:p>
        </w:tc>
        <w:tc>
          <w:tcPr>
            <w:tcW w:type="dxa" w:w="71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7"/>
              </w:rPr>
              <w:t>Automated tests -&gt; fictional staging -&gt; client staging -&gt; canary -&gt; production -&gt; rollback</w:t>
            </w:r>
          </w:p>
        </w:tc>
      </w:tr>
      <w:tr>
        <w:tc>
          <w:tcPr>
            <w:tcW w:type="dxa" w:w="220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Support promise</w:t>
            </w:r>
          </w:p>
        </w:tc>
        <w:tc>
          <w:tcPr>
            <w:tcW w:type="dxa" w:w="7160"/>
            <w:tcMar>
              <w:top w:w="100" w:type="dxa"/>
              <w:start w:w="140" w:type="dxa"/>
              <w:bottom w:w="100" w:type="dxa"/>
              <w:end w:w="140" w:type="dxa"/>
            </w:tcMar>
            <w:vAlign w:val="center"/>
          </w:tcPr>
          <w:p>
            <w:pPr>
              <w:keepNext w:val="0"/>
              <w:spacing w:before="0" w:after="0" w:line="278" w:lineRule="auto"/>
            </w:pPr>
            <w:r>
              <w:rPr>
                <w:rFonts w:ascii="Calibri" w:hAnsi="Calibri"/>
                <w:color w:val="111315"/>
                <w:sz w:val="17"/>
              </w:rPr>
              <w:t>Automated monitoring is continuous; human response follows the contracted support window</w:t>
            </w:r>
          </w:p>
        </w:tc>
      </w:tr>
    </w:tbl>
    <w:p>
      <w:pPr>
        <w:pStyle w:val="Heading1"/>
        <w:keepNext/>
      </w:pPr>
      <w:r>
        <w:rPr>
          <w:rFonts w:ascii="Calibri" w:hAnsi="Calibri"/>
          <w:color w:val="D8643E"/>
        </w:rPr>
        <w:t>16. Acceptance and release gate</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Test</w:t>
            </w:r>
          </w:p>
        </w:tc>
        <w:tc>
          <w:tcPr>
            <w:tcW w:type="dxa" w:w="6360"/>
            <w:tcMar>
              <w:top w:w="100" w:type="dxa"/>
              <w:start w:w="140" w:type="dxa"/>
              <w:bottom w:w="100" w:type="dxa"/>
              <w:end w:w="140" w:type="dxa"/>
            </w:tcMar>
            <w:shd w:fill="23272B"/>
            <w:vAlign w:val="center"/>
          </w:tcPr>
          <w:p>
            <w:pPr>
              <w:keepNext w:val="0"/>
              <w:spacing w:before="0" w:after="0" w:line="240" w:lineRule="auto"/>
            </w:pPr>
            <w:r>
              <w:rPr>
                <w:rFonts w:ascii="Calibri" w:hAnsi="Calibri"/>
                <w:b/>
                <w:color w:val="FFFFFF"/>
                <w:sz w:val="18"/>
              </w:rPr>
              <w:t>Pass condition</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Isolation</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Second fictional deployment uses new Worker/D1/secrets/number and reads no first-deployment data</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Routine in-area call</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Provisional outcome and complete receipt; no confirmed appointment</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Unsupported ZIP</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No service promise; manual-review or unsupported disposition</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Danger language</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Routine intake stops and safe human route is attempted</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Prompt injection</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Policy unchanged; no prompt, secret, or configuration disclosed</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Tool/transfer failure</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Failure disclosed; no invented success</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Artifacts</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Encryption tampering and wrong deployment context fail closed</w:t>
            </w:r>
          </w:p>
        </w:tc>
      </w:tr>
      <w:tr>
        <w:tc>
          <w:tcPr>
            <w:tcW w:type="dxa" w:w="300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Adversarial suite</w:t>
            </w:r>
          </w:p>
        </w:tc>
        <w:tc>
          <w:tcPr>
            <w:tcW w:type="dxa" w:w="6360"/>
            <w:tcMar>
              <w:top w:w="100" w:type="dxa"/>
              <w:start w:w="140" w:type="dxa"/>
              <w:bottom w:w="100" w:type="dxa"/>
              <w:end w:w="140" w:type="dxa"/>
            </w:tcMar>
            <w:vAlign w:val="center"/>
            <w:shd w:fill="F6F5F1"/>
          </w:tcPr>
          <w:p>
            <w:pPr>
              <w:keepNext w:val="0"/>
              <w:spacing w:before="0" w:after="0" w:line="278" w:lineRule="auto"/>
            </w:pPr>
            <w:r>
              <w:rPr>
                <w:rFonts w:ascii="Calibri" w:hAnsi="Calibri"/>
                <w:color w:val="111315"/>
                <w:sz w:val="16"/>
              </w:rPr>
              <w:t>50 calls; zero invented bookings, prices, or missed danger routes</w:t>
            </w:r>
          </w:p>
        </w:tc>
      </w:tr>
      <w:tr>
        <w:tc>
          <w:tcPr>
            <w:tcW w:type="dxa" w:w="300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Operations</w:t>
            </w:r>
          </w:p>
        </w:tc>
        <w:tc>
          <w:tcPr>
            <w:tcW w:type="dxa" w:w="6360"/>
            <w:tcMar>
              <w:top w:w="100" w:type="dxa"/>
              <w:start w:w="140" w:type="dxa"/>
              <w:bottom w:w="100" w:type="dxa"/>
              <w:end w:w="140" w:type="dxa"/>
            </w:tcMar>
            <w:vAlign w:val="center"/>
          </w:tcPr>
          <w:p>
            <w:pPr>
              <w:keepNext w:val="0"/>
              <w:spacing w:before="0" w:after="0" w:line="278" w:lineRule="auto"/>
            </w:pPr>
            <w:r>
              <w:rPr>
                <w:rFonts w:ascii="Calibri" w:hAnsi="Calibri"/>
                <w:color w:val="111315"/>
                <w:sz w:val="16"/>
              </w:rPr>
              <w:t>Provisioning, monitoring, retention, incident, deletion, and rollback runbooks approved</w:t>
            </w:r>
          </w:p>
        </w:tc>
      </w:tr>
    </w:tbl>
    <w:p>
      <w:pPr>
        <w:pStyle w:val="Heading1"/>
        <w:keepNext/>
      </w:pPr>
      <w:r>
        <w:rPr>
          <w:rFonts w:ascii="Calibri" w:hAnsi="Calibri"/>
          <w:color w:val="D8643E"/>
        </w:rPr>
        <w:t>17. Commercial boundary</w:t>
      </w:r>
    </w:p>
    <w:p>
      <w:pPr>
        <w:pStyle w:val="ListBullet"/>
        <w:keepNext w:val="0"/>
        <w:spacing w:before="0" w:after="80" w:line="278" w:lineRule="auto"/>
        <w:ind w:left="720" w:hanging="360"/>
      </w:pPr>
      <w:r>
        <w:rPr>
          <w:rFonts w:ascii="Calibri" w:hAnsi="Calibri"/>
          <w:color w:val="111315"/>
          <w:sz w:val="21"/>
        </w:rPr>
        <w:t>Setup covers discovery, deployment, configuration, tests, and the stated adapter.</w:t>
      </w:r>
    </w:p>
    <w:p>
      <w:pPr>
        <w:pStyle w:val="ListBullet"/>
        <w:keepNext w:val="0"/>
        <w:spacing w:before="0" w:after="80" w:line="278" w:lineRule="auto"/>
        <w:ind w:left="720" w:hanging="360"/>
      </w:pPr>
      <w:r>
        <w:rPr>
          <w:rFonts w:ascii="Calibri" w:hAnsi="Calibri"/>
          <w:color w:val="111315"/>
          <w:sz w:val="21"/>
        </w:rPr>
        <w:t>Monthly fee covers monitoring, maintenance, policy review, and agreed change allowance.</w:t>
      </w:r>
    </w:p>
    <w:p>
      <w:pPr>
        <w:pStyle w:val="ListBullet"/>
        <w:keepNext w:val="0"/>
        <w:spacing w:before="0" w:after="80" w:line="278" w:lineRule="auto"/>
        <w:ind w:left="720" w:hanging="360"/>
      </w:pPr>
      <w:r>
        <w:rPr>
          <w:rFonts w:ascii="Calibri" w:hAnsi="Calibri"/>
          <w:color w:val="111315"/>
          <w:sz w:val="21"/>
        </w:rPr>
        <w:t>Voice/model/telephony usage is billed separately under the service agreement.</w:t>
      </w:r>
    </w:p>
    <w:p>
      <w:pPr>
        <w:pStyle w:val="ListBullet"/>
        <w:keepNext w:val="0"/>
        <w:spacing w:before="0" w:after="80" w:line="278" w:lineRule="auto"/>
        <w:ind w:left="720" w:hanging="360"/>
      </w:pPr>
      <w:r>
        <w:rPr>
          <w:rFonts w:ascii="Calibri" w:hAnsi="Calibri"/>
          <w:color w:val="111315"/>
          <w:sz w:val="21"/>
        </w:rPr>
        <w:t>A new integration, core workflow change, or unrelated automation receives a separate scope.</w:t>
      </w:r>
    </w:p>
    <w:p>
      <w:pPr>
        <w:pStyle w:val="ListBullet"/>
        <w:keepNext w:val="0"/>
        <w:spacing w:before="0" w:after="80" w:line="278" w:lineRule="auto"/>
        <w:ind w:left="720" w:hanging="360"/>
      </w:pPr>
      <w:r>
        <w:rPr>
          <w:rFonts w:ascii="Calibri" w:hAnsi="Calibri"/>
          <w:color w:val="111315"/>
          <w:sz w:val="21"/>
        </w:rPr>
        <w:t>The founding $1,000 setup and $750 monthly price is viable only for a tightly standardized pilot without substantial custom integration.</w:t>
      </w:r>
    </w:p>
    <w:p>
      <w:pPr>
        <w:pStyle w:val="Heading1"/>
        <w:keepNext/>
      </w:pPr>
      <w:r>
        <w:rPr>
          <w:rFonts w:ascii="Calibri" w:hAnsi="Calibri"/>
          <w:color w:val="D8643E"/>
        </w:rPr>
        <w:t>18. SaaS decision gate</w:t>
      </w:r>
    </w:p>
    <w:p>
      <w:pPr>
        <w:keepNext w:val="0"/>
        <w:spacing w:before="0" w:after="120" w:line="288" w:lineRule="auto"/>
      </w:pPr>
      <w:r>
        <w:rPr>
          <w:rFonts w:ascii="Calibri" w:hAnsi="Calibri"/>
          <w:b w:val="0"/>
          <w:i w:val="0"/>
          <w:color w:val="23272B"/>
          <w:sz w:val="20"/>
        </w:rPr>
        <w:t>Multi-tenant SaaS remains deferred. Reconsider only when evidence shows most clients share the same workflow, integrations converge, onboarding is frequent, manual provisioning is the bottleneck, several paying customers request self-service, and revenue can fund a dedicated platform build.</w:t>
      </w:r>
    </w:p>
    <w:p>
      <w:pPr>
        <w:keepNext w:val="0"/>
        <w:spacing w:before="80" w:after="160" w:line="264" w:lineRule="auto"/>
      </w:pPr>
      <w:r>
        <w:rPr>
          <w:rFonts w:ascii="Calibri" w:hAnsi="Calibri"/>
          <w:b/>
          <w:i w:val="0"/>
          <w:color w:val="111315"/>
          <w:sz w:val="21"/>
        </w:rPr>
        <w:t>Until that gate, build an internal deployment factory - not a public SaaS control plane.</w:t>
      </w:r>
    </w:p>
    <w:p>
      <w:pPr>
        <w:pStyle w:val="Heading1"/>
        <w:keepNext/>
        <w:pageBreakBefore/>
      </w:pPr>
      <w:r>
        <w:rPr>
          <w:rFonts w:ascii="Calibri" w:hAnsi="Calibri"/>
          <w:color w:val="D8643E"/>
        </w:rPr>
        <w:t>19. Source notes</w:t>
      </w:r>
    </w:p>
    <w:p>
      <w:pPr>
        <w:keepNext w:val="0"/>
        <w:spacing w:before="0" w:after="140" w:line="264" w:lineRule="auto"/>
      </w:pPr>
      <w:r>
        <w:rPr>
          <w:rFonts w:ascii="Calibri" w:hAnsi="Calibri"/>
          <w:b w:val="0"/>
          <w:i w:val="0"/>
          <w:color w:val="6D7479"/>
          <w:sz w:val="19"/>
        </w:rPr>
        <w:t>Official platform and architecture references used to validate the managed-deployment decision:</w:t>
      </w:r>
    </w:p>
    <w:p>
      <w:pPr>
        <w:pStyle w:val="ListBullet"/>
        <w:keepNext w:val="0"/>
        <w:spacing w:before="0" w:after="80" w:line="264" w:lineRule="auto"/>
      </w:pPr>
      <w:hyperlink r:id="rId11">
        <w:r>
          <w:rPr>
            <w:color w:val="D8643E"/>
            <w:u w:val="single"/>
          </w:rPr>
          <w:t>Vapi FAQ - API-first and application-owned multi-tenancy</w:t>
        </w:r>
      </w:hyperlink>
    </w:p>
    <w:p>
      <w:pPr>
        <w:pStyle w:val="ListBullet"/>
        <w:keepNext w:val="0"/>
        <w:spacing w:before="0" w:after="80" w:line="264" w:lineRule="auto"/>
      </w:pPr>
      <w:hyperlink r:id="rId12">
        <w:r>
          <w:rPr>
            <w:color w:val="D8643E"/>
            <w:u w:val="single"/>
          </w:rPr>
          <w:t>Vapi server events</w:t>
        </w:r>
      </w:hyperlink>
    </w:p>
    <w:p>
      <w:pPr>
        <w:pStyle w:val="ListBullet"/>
        <w:keepNext w:val="0"/>
        <w:spacing w:before="0" w:after="80" w:line="264" w:lineRule="auto"/>
      </w:pPr>
      <w:hyperlink r:id="rId13">
        <w:r>
          <w:rPr>
            <w:color w:val="D8643E"/>
            <w:u w:val="single"/>
          </w:rPr>
          <w:t>Vapi call forwarding</w:t>
        </w:r>
      </w:hyperlink>
    </w:p>
    <w:p>
      <w:pPr>
        <w:pStyle w:val="ListBullet"/>
        <w:keepNext w:val="0"/>
        <w:spacing w:before="0" w:after="80" w:line="264" w:lineRule="auto"/>
      </w:pPr>
      <w:hyperlink r:id="rId14">
        <w:r>
          <w:rPr>
            <w:color w:val="D8643E"/>
            <w:u w:val="single"/>
          </w:rPr>
          <w:t>AWS SaaS Lens - silo, pool, and bridge models</w:t>
        </w:r>
      </w:hyperlink>
    </w:p>
    <w:p>
      <w:pPr>
        <w:pStyle w:val="ListBullet"/>
        <w:keepNext w:val="0"/>
        <w:spacing w:before="0" w:after="80" w:line="264" w:lineRule="auto"/>
      </w:pPr>
      <w:hyperlink r:id="rId15">
        <w:r>
          <w:rPr>
            <w:color w:val="D8643E"/>
            <w:u w:val="single"/>
          </w:rPr>
          <w:t>Voiceflow agency and partner workspace model</w:t>
        </w:r>
      </w:hyperlink>
    </w:p>
    <w:p>
      <w:pPr>
        <w:pStyle w:val="ListBullet"/>
        <w:keepNext w:val="0"/>
        <w:spacing w:before="0" w:after="80" w:line="264" w:lineRule="auto"/>
      </w:pPr>
      <w:hyperlink r:id="rId16">
        <w:r>
          <w:rPr>
            <w:color w:val="D8643E"/>
            <w:u w:val="single"/>
          </w:rPr>
          <w:t>Retell partner delivery examples</w:t>
        </w:r>
      </w:hyperlink>
    </w:p>
    <w:p>
      <w:pPr>
        <w:pStyle w:val="ListBullet"/>
        <w:keepNext w:val="0"/>
        <w:spacing w:before="0" w:after="80" w:line="264" w:lineRule="auto"/>
      </w:pPr>
      <w:hyperlink r:id="rId17">
        <w:r>
          <w:rPr>
            <w:color w:val="D8643E"/>
            <w:u w:val="single"/>
          </w:rPr>
          <w:t>Cloudflare Access self-hosted applications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D7479"/>
        <w:sz w:val="17"/>
      </w:rPr>
      <w:t xml:space="preserve">Page </w:t>
    </w:r>
    <w:r>
      <w:rPr>
        <w:rFonts w:ascii="Calibri" w:hAnsi="Calibri"/>
        <w:color w:val="6D7479"/>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tbl>
    <w:tblPr>
      <w:tblW w:type="dxa" w:w="9360"/>
      <w:jc w:val="left"/>
      <w:tblLayout w:type="fixed"/>
      <w:tblLook w:firstColumn="1" w:firstRow="1" w:lastColumn="0" w:lastRow="0" w:noHBand="0" w:noVBand="1" w:val="04A0"/>
      <w:tblInd w:w="0" w:type="dxa"/>
    </w:tblPr>
    <w:tblGrid>
      <w:gridCol w:w="4680"/>
      <w:gridCol w:w="4680"/>
    </w:tblGrid>
    <w:tr>
      <w:trPr>
        <w:tblHeader w:val="true"/>
      </w:trPr>
      <w:tc>
        <w:tcPr>
          <w:tcW w:type="dxa" w:w="4680"/>
          <w:tcMar>
            <w:top w:w="0" w:type="dxa"/>
            <w:start w:w="0" w:type="dxa"/>
            <w:bottom w:w="0" w:type="dxa"/>
            <w:end w:w="0" w:type="dxa"/>
          </w:tcMar>
          <w:vAlign w:val="center"/>
        </w:tcPr>
        <w:p>
          <w:pPr>
            <w:jc w:val="left"/>
          </w:pPr>
          <w:r>
            <w:rPr>
              <w:rFonts w:ascii="Calibri" w:hAnsi="Calibri"/>
              <w:b/>
              <w:color w:val="6D7479"/>
              <w:sz w:val="16"/>
            </w:rPr>
            <w:t>FieldRelay by PrimeArcTech</w:t>
          </w:r>
        </w:p>
      </w:tc>
      <w:tc>
        <w:tcPr>
          <w:tcW w:type="dxa" w:w="4680"/>
          <w:tcMar>
            <w:top w:w="0" w:type="dxa"/>
            <w:start w:w="0" w:type="dxa"/>
            <w:bottom w:w="0" w:type="dxa"/>
            <w:end w:w="0" w:type="dxa"/>
          </w:tcMar>
          <w:vAlign w:val="center"/>
        </w:tcPr>
        <w:p>
          <w:pPr>
            <w:jc w:val="right"/>
          </w:pPr>
          <w:r>
            <w:rPr>
              <w:rFonts w:ascii="Calibri" w:hAnsi="Calibri"/>
              <w:b/>
              <w:color w:val="6D7479"/>
              <w:sz w:val="16"/>
            </w:rPr>
            <w:t>Managed Pilot MVP PRD | v2.0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3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D864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D864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327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12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vapi.ai/faq" TargetMode="External"/><Relationship Id="rId12" Type="http://schemas.openxmlformats.org/officeDocument/2006/relationships/hyperlink" Target="https://docs.vapi.ai/server-url/events" TargetMode="External"/><Relationship Id="rId13" Type="http://schemas.openxmlformats.org/officeDocument/2006/relationships/hyperlink" Target="https://docs.vapi.ai/call-forwarding" TargetMode="External"/><Relationship Id="rId14" Type="http://schemas.openxmlformats.org/officeDocument/2006/relationships/hyperlink" Target="https://docs.aws.amazon.com/wellarchitected/latest/saas-lens/silo-pool-and-bridge-models.html" TargetMode="External"/><Relationship Id="rId15" Type="http://schemas.openxmlformats.org/officeDocument/2006/relationships/hyperlink" Target="https://www.voiceflow.com/pricing" TargetMode="External"/><Relationship Id="rId16" Type="http://schemas.openxmlformats.org/officeDocument/2006/relationships/hyperlink" Target="https://www.retellai.com/partners" TargetMode="External"/><Relationship Id="rId17" Type="http://schemas.openxmlformats.org/officeDocument/2006/relationships/hyperlink" Target="https://developers.cloudflare.com/cloudflare-one/access-controls/applications/http-apps/self-hosted-public-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FieldRelay Managed Pilot MVP PRD</dc:title>
  <dc:subject>Two-week managed-product implementation for a three-person team</dc:subject>
  <dc:creator>PrimeArcTech</dc:creator>
  <cp:keywords>PrimeArcTech, applied AI, FieldRelay</cp:keywords>
  <dc:description>generated by python-docx</dc:description>
  <cp:lastModifiedBy/>
  <cp:revision>1</cp:revision>
  <dcterms:created xsi:type="dcterms:W3CDTF">2013-12-23T23:15:00Z</dcterms:created>
  <dcterms:modified xsi:type="dcterms:W3CDTF">2013-12-23T23:15:00Z</dcterms:modified>
  <cp:category/>
</cp:coreProperties>
</file>