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tbl>
      <w:tblPr>
        <w:tblW w:w="9750" w:type="dxa"/>
        <w:tblCellSpacing w:w="0" w:type="dxa"/>
        <w:tblCellMar>
          <w:top w:w="0" w:type="dxa"/>
          <w:left w:w="0" w:type="dxa"/>
          <w:bottom w:w="0" w:type="dxa"/>
          <w:right w:w="0" w:type="dxa"/>
        </w:tblCellMar>
      </w:tblPr>
      <w:tblGrid>
        <w:gridCol w:w="1650"/>
        <w:gridCol w:w="8100"/>
      </w:tblGrid>
      <w:tr>
        <w:tblPrEx>
          <w:tblW w:w="9750" w:type="dxa"/>
          <w:tblCellSpacing w:w="0" w:type="dxa"/>
          <w:tblCellMar>
            <w:top w:w="0" w:type="dxa"/>
            <w:left w:w="0" w:type="dxa"/>
            <w:bottom w:w="0" w:type="dxa"/>
            <w:right w:w="0" w:type="dxa"/>
          </w:tblCellMar>
        </w:tblPrEx>
        <w:trPr>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30"/>
                <w:szCs w:val="30"/>
              </w:rPr>
            </w:pPr>
            <w:r>
              <w:rPr>
                <w:rFonts w:ascii="Arial Unicode MS" w:eastAsia="Arial Unicode MS" w:hAnsi="Arial Unicode MS" w:cs="Arial Unicode MS"/>
                <w:b/>
                <w:bCs/>
                <w:i w:val="0"/>
                <w:iCs w:val="0"/>
                <w:smallCaps w:val="0"/>
                <w:color w:val="000000"/>
                <w:sz w:val="30"/>
                <w:szCs w:val="30"/>
              </w:rPr>
              <w:t>ASHBY</w:t>
            </w:r>
            <w:r>
              <w:rPr>
                <w:rFonts w:ascii="Arial Unicode MS" w:eastAsia="Arial Unicode MS" w:hAnsi="Arial Unicode MS" w:cs="Arial Unicode MS"/>
                <w:b/>
                <w:bCs/>
                <w:i w:val="0"/>
                <w:iCs w:val="0"/>
                <w:smallCaps w:val="0"/>
                <w:color w:val="000000"/>
                <w:sz w:val="30"/>
                <w:szCs w:val="30"/>
              </w:rPr>
              <w:t> </w:t>
            </w:r>
            <w:r>
              <w:rPr>
                <w:rFonts w:ascii="Arial Unicode MS" w:eastAsia="Arial Unicode MS" w:hAnsi="Arial Unicode MS" w:cs="Arial Unicode MS"/>
                <w:b/>
                <w:bCs/>
                <w:i w:val="0"/>
                <w:iCs w:val="0"/>
                <w:smallCaps w:val="0"/>
                <w:color w:val="000000"/>
                <w:sz w:val="30"/>
                <w:szCs w:val="30"/>
              </w:rPr>
              <w:t>SIMON</w:t>
            </w:r>
          </w:p>
        </w:tc>
      </w:tr>
      <w:tr>
        <w:tblPrEx>
          <w:tblW w:w="9750" w:type="dxa"/>
          <w:tblCellSpacing w:w="0" w:type="dxa"/>
          <w:tblCellMar>
            <w:top w:w="0" w:type="dxa"/>
            <w:left w:w="0" w:type="dxa"/>
            <w:bottom w:w="0" w:type="dxa"/>
            <w:right w:w="0" w:type="dxa"/>
          </w:tblCellMar>
        </w:tblPrEx>
        <w:trPr>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p>
        </w:tc>
      </w:tr>
      <w:tr>
        <w:tblPrEx>
          <w:tblW w:w="9750" w:type="dxa"/>
          <w:tblCellSpacing w:w="0" w:type="dxa"/>
          <w:tblCellMar>
            <w:top w:w="0" w:type="dxa"/>
            <w:left w:w="0" w:type="dxa"/>
            <w:bottom w:w="0" w:type="dxa"/>
            <w:right w:w="0" w:type="dxa"/>
          </w:tblCellMar>
        </w:tblPrEx>
        <w:trPr>
          <w:trHeight w:val="300"/>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165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bCs/>
                <w:i w:val="0"/>
                <w:iCs w:val="0"/>
                <w:smallCaps w:val="0"/>
                <w:color w:val="000000"/>
                <w:sz w:val="21"/>
                <w:szCs w:val="21"/>
              </w:rPr>
              <w:t>Phone</w:t>
            </w:r>
            <w:r>
              <w:rPr>
                <w:rFonts w:ascii="Arial Unicode MS" w:eastAsia="Arial Unicode MS" w:hAnsi="Arial Unicode MS" w:cs="Arial Unicode MS"/>
                <w:b w:val="0"/>
                <w:bCs w:val="0"/>
                <w:i w:val="0"/>
                <w:iCs w:val="0"/>
                <w:smallCaps w:val="0"/>
                <w:color w:val="000000"/>
                <w:sz w:val="21"/>
                <w:szCs w:val="21"/>
              </w:rPr>
              <w:t>:</w:t>
            </w:r>
          </w:p>
        </w:tc>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val="0"/>
                <w:bCs w:val="0"/>
                <w:i w:val="0"/>
                <w:iCs w:val="0"/>
                <w:smallCaps w:val="0"/>
                <w:color w:val="000000"/>
                <w:sz w:val="21"/>
                <w:szCs w:val="21"/>
              </w:rPr>
              <w:t>+12017592395</w:t>
            </w:r>
          </w:p>
        </w:tc>
      </w:tr>
      <w:tr>
        <w:tblPrEx>
          <w:tblW w:w="9750" w:type="dxa"/>
          <w:tblCellSpacing w:w="0" w:type="dxa"/>
          <w:tblCellMar>
            <w:top w:w="0" w:type="dxa"/>
            <w:left w:w="0" w:type="dxa"/>
            <w:bottom w:w="0" w:type="dxa"/>
            <w:right w:w="0" w:type="dxa"/>
          </w:tblCellMar>
        </w:tblPrEx>
        <w:trPr>
          <w:trHeight w:val="7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165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bCs/>
                <w:i w:val="0"/>
                <w:iCs w:val="0"/>
                <w:smallCaps w:val="0"/>
                <w:color w:val="000000"/>
                <w:sz w:val="21"/>
                <w:szCs w:val="21"/>
              </w:rPr>
              <w:t>Home</w:t>
            </w:r>
            <w:r>
              <w:rPr>
                <w:rFonts w:ascii="Arial Unicode MS" w:eastAsia="Arial Unicode MS" w:hAnsi="Arial Unicode MS" w:cs="Arial Unicode MS"/>
                <w:b w:val="0"/>
                <w:bCs w:val="0"/>
                <w:i w:val="0"/>
                <w:iCs w:val="0"/>
                <w:smallCaps w:val="0"/>
                <w:color w:val="000000"/>
                <w:sz w:val="21"/>
                <w:szCs w:val="21"/>
              </w:rPr>
              <w:t>:</w:t>
            </w:r>
          </w:p>
        </w:tc>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val="0"/>
                <w:bCs w:val="0"/>
                <w:i w:val="0"/>
                <w:iCs w:val="0"/>
                <w:smallCaps w:val="0"/>
                <w:color w:val="000000"/>
                <w:sz w:val="21"/>
                <w:szCs w:val="21"/>
              </w:rPr>
              <w:t>-</w:t>
            </w:r>
          </w:p>
        </w:tc>
      </w:tr>
      <w:tr>
        <w:tblPrEx>
          <w:tblW w:w="9750" w:type="dxa"/>
          <w:tblCellSpacing w:w="0" w:type="dxa"/>
          <w:tblCellMar>
            <w:top w:w="0" w:type="dxa"/>
            <w:left w:w="0" w:type="dxa"/>
            <w:bottom w:w="0" w:type="dxa"/>
            <w:right w:w="0" w:type="dxa"/>
          </w:tblCellMar>
        </w:tblPrEx>
        <w:trPr>
          <w:trHeight w:val="7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165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bCs/>
                <w:i w:val="0"/>
                <w:iCs w:val="0"/>
                <w:smallCaps w:val="0"/>
                <w:color w:val="000000"/>
                <w:sz w:val="21"/>
                <w:szCs w:val="21"/>
              </w:rPr>
              <w:t>Email</w:t>
            </w:r>
            <w:r>
              <w:rPr>
                <w:rFonts w:ascii="Arial Unicode MS" w:eastAsia="Arial Unicode MS" w:hAnsi="Arial Unicode MS" w:cs="Arial Unicode MS"/>
                <w:b w:val="0"/>
                <w:bCs w:val="0"/>
                <w:i w:val="0"/>
                <w:iCs w:val="0"/>
                <w:smallCaps w:val="0"/>
                <w:color w:val="000000"/>
                <w:sz w:val="21"/>
                <w:szCs w:val="21"/>
              </w:rPr>
              <w:t>:</w:t>
            </w:r>
          </w:p>
        </w:tc>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sz w:val="21"/>
                <w:szCs w:val="21"/>
              </w:rPr>
            </w:pPr>
            <w:r>
              <w:rPr>
                <w:rFonts w:ascii="Arial Unicode MS" w:eastAsia="Arial Unicode MS" w:hAnsi="Arial Unicode MS" w:cs="Arial Unicode MS"/>
                <w:b w:val="0"/>
                <w:bCs w:val="0"/>
                <w:i w:val="0"/>
                <w:iCs w:val="0"/>
                <w:smallCaps w:val="0"/>
                <w:color w:val="000000"/>
                <w:sz w:val="21"/>
                <w:szCs w:val="21"/>
              </w:rPr>
              <w:t>ashsimon99@gmail.com</w:t>
            </w:r>
          </w:p>
        </w:tc>
      </w:tr>
      <w:tr>
        <w:tblPrEx>
          <w:tblW w:w="9750" w:type="dxa"/>
          <w:tblCellSpacing w:w="0" w:type="dxa"/>
          <w:tblCellMar>
            <w:top w:w="0" w:type="dxa"/>
            <w:left w:w="0" w:type="dxa"/>
            <w:bottom w:w="0" w:type="dxa"/>
            <w:right w:w="0" w:type="dxa"/>
          </w:tblCellMar>
        </w:tblPrEx>
        <w:trPr>
          <w:trHeight w:val="750"/>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6813"/>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OBJECTIVE:</w:t>
            </w: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Provided IT consultancy services to Fortune 500 companies like Federal Reserve, Barclays, State Farm, Morgan Stanley, Citibank, Avon, Aetna, BCBS, Dept of Health and Human Resources WV State, and Deloitte Consulting. * Worked on Demand Management and Strategy review of Portfolio Management. * Managed team of 150 at Avon, 15 at Blue Cross, 40 at Citi Bank and 50 at Morgan Stanley Smith Barney. * Experienced in Business Intelligence, Cloud, Big Data, JAVA, Legacy and .NET and Analytics * Experienced in large deal RFP response and presentation - $50 million. * Worked in Manufacturing (Caterpillar) CPG (Avon) and Life Insurance (Smith Barney Morgan Stanley). * Implemented Sales Cloud, Service Cloud CPQ and near Real time using Salesforce * Responsible for maintaining Service levels &amp; holding reviews and Steering committee meetings * Experienced in Public sector - Department of Health - WV State and Federal Reserve * Experienced in SAP CPQ, Legacy Modernization, Big Data, Cloud, Transformation and Database migration * Experienced in Infrastructure upgrades, Patching, and Vulnerability updates * Involved in submitting RFP's and pre sales activities for new projects at Citibank, CPG and Morgan Stanley. * Worked on Project Management methodologies including RUP, PMP, ITIL and AGILE. * Experienced in establishing and, managing PMO -PMI and Scrum (Agile). * Experienced on Healthcare, Banking, Insurance, CPG, Pharma, Airlines, Government and Wealth Management.</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2271"/>
        <w:gridCol w:w="2271"/>
        <w:gridCol w:w="2271"/>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EXPERIENCE:</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6/2018 - Present</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Barclays Bank</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Senior Enterprise Program Manager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Checking Launch, Data Management and Digital Consumer Bank Portfolio Governance - Americas Responsible for managing multiple projects including Ancillary projects for Barclays Americas Checking Digital Product Launch (Retail banking). Primarily responsible for establishing Cloud, Back Office, Call center, Bill Pay, Zelle, Cedar (Communication platform), nGage (Case Management) and Android/Apple Push notifications, API's. Managed budget in excess of $25 Million. FIS was contracted to provide checking platform using Profile and to act as system of record. Managed additional projects in Savings, Payments and Loans portfolio. Responsible for Digital Consumer Bank (Loans, Savings and Checking) Portfolio Governance and reporting including companywide weekly reporting. I also managed Snowflake Datawarehousing, BI Reporting and Data Governance. Implemented GRC ServiceNow and integrated with Jira * Coordinated with Partners, PMO, project sponsors product owners, vendors and Ancillaries * Provide on-site leadership for project team by building and motivating team members to meet project goals * Managed Infrastructure setup, software deployments, upgrades, patches and Networking * Checking was a Business Transformation project executed in Agile and Cloud * Represented program in Steering committee meetings and Managed Program Roadmap * Implemented multiple applications on Azure and Google cloud * Led major project workshops, site visits, demos, architecture reviews and major JAD sessions * Participated in Product Launch Roadshows and coordinated and ran critical meetings * Managed Portfolio of Applications across Checking, Loans, CCAR, BASEL, and Mortgages * Managed Azure scrum board with Visual Studio and Azure monitor for Devops * Negotiated and signed-off SLA's with FIS, technology partners and Ancillaries * Worked with operations management to hire and establish Back office and Call Center * Wrote proposals and MSA for Vendor product implementations * Responsible for Stakeholder management, Benefit management and operations management * Managed Snowflake Data warehousing and Data Governance (Informatica Axon) * Implemented metadata, data catalogs, data lineage, IDQ Rules * Implemented Legacy Mainframe Datawarehouse Migration to Snowflake on AWS * Managed sprint planning, story grooming, stand up, test plan reviews, sprint demos, retrospectives * Managed Billing, Cedar and nGage, Payments integration with Checking platform * Planned and managed the day-to-day project activities and chairs the program management meetings * Integrated Workday with Barclays infrastructure * Understand and communicate interdependencies between technology, operations and business needs * Managed Risk, Issues and Dependencies and Action items across projects on central confluence repository * Managed projects in Agile (Scrum and Kanban)and Waterfall. ITIL based support project transition responsibility * Responsible for Project Charter, financial app</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8/2017 - 6/2018</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Federal Reserve Bank</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Senior Project Manager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Washington DC Securities and derivatives Development Responsible for managing multiple projects like Fixed Income Single Security for Freddie and Fannie, Securities Lending, ACAP (Automated Claims processing systems) for Mortgage backed securities, Service packs project (Major enhancements), BONY Segregation project (Data segregation for Bank of New York Mellon). Managed budget in excess of $10 Million. * Liaise with VPs, Program Management and Portfolio Management, project sponsors and strategic partners * Provide on-site leadership for project team by building and motivating team members to meet project goals * Full Project life cycle ownership: Successful project delivery will include full implementation from initiation to deployment for several cross functional initiatives simultaneously * Built system for tracking Derivatives transaction * Used Smartsheet for Task tracking, Program rollup, resource management and budget tracking * Implemented ServiceNow workflow for Change approval and Implementation checklist * Managed Compliance for all projects to Regulations and Policies * Managed Infrastructure upgrade including WAS 8.5 across environments and Oracle database upgrades * Report on project success criteria results, metrics, test and deployment management activities * Build and maintain relationships by engaging business sponsors, PMO, key stakeholders, SMEs and project team to establish credibility, solve problems, build consensus and achieve objectives * Participate in establishing practices, templates, policies, tools and partnerships * Prepare estimates and detailed project plan for all phases of the project * Procure adequate resources working with delivery team to achieve project objectives in planned timeframes * Communicate roles and responsibilities of the project team, per the Enterprise Program delivery guidelines * Manage the day-to-day project activities and resources, and chairs the project management team meetings * Provide status reporting regarding project milestones, deliverable, dependencies, risks and issues * Understand and communicate interdependencies between technology, operations and business needs * Owned and Managed Risk, Issues and Dependencies log * Manage project scope and changes through the change management process * Assist in dispute, negotiation, arbitration, or litigation, as needed. * Responsible for Project Charter, RACI Matrix, financial approval and PPM Project initiation * Define the Statement of Work and Specifications for the requested project and services. * Technologies used included Java, Informatica, Oracle, Jira, MS Office, MS Project and Cloud</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9/2016 - 7/2017</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KPMG</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Program Manager (Development)</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Audit Platform - Risk and Compliance. Responsible for building a global platform on which KPMG does all external clients internal Audit. This platform supports two kinds of Audit - Internal Risk based Audits and Internal Compliance based Audits. Internal Audits are done by major corporations typically before external audits. Built major applications like client management, Engagement management, Risk and Compliance based applications, work program, work papers, project tracking and management, issue tracking and management and Business Intelligence reporting. * Plan the delivery of the overall program in accordance to the mission and the goals of the organization * Develop and implement long-term goals and objectives to achieve the successful outcome of the program * Implemented annual budget and operating plan to support the program * Integrated Billing and case management to Risk and Compliance platform for customer payments * Developed forms, templates, tracking tools and records to document program activities for PMO * Business case development, business adoption, presentation and user training * Identify and prioritize projects, deliverables and Implementation Roadmap * Responsible for driving monthly Steering committee meetings and weekly senior management reporting * Manages multiple vendors, Architects, Project Managers, and Analysts, developers, and testers, * Managed Risks, Issues, Assumptions and dependencies across program. * Led Sprint planning meetings and implemented and monitored Scrum board * Responsible for Sprint planning, prioritizations, estimation, workshops and burn down charts * In consultation with the Executive Director, recruit, interview and select well-qualified program staff * Manage allocation, utilization cost, time schedules and standards with well-defined milestones * Technologies used .NET, Oracle, Microsoft Azure cloud, Visual Studio and SharePoint, VSTS, SAP CPQ</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7/2015 - 8/2016</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UBS (Swiss Bank)</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Program Manager - (Development)</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Fixed Income - Treasury and Capital Markets UBS (Swiss Bank). Employer - Cognizant Technologies Ltd Insight Treasury and Capital Markets is an in house strategic Business Intelligence reporting platform. Multiyear projects for delivering reports for Risk Weighted Assets (RWA), Liquidity and Funding (Structured Liquidity Gap (SLG), Contingent Funding, Funding Plan, CCR, LFM, LCR and NSFR), Capital, LRD, Balance Sheet and integrated reporting. Separate project was for Hedge Fund and Fund of Funds reporting, CD redemption report, and CD Interest rate report. Project includes creating various reports and dashboards to be used across Treasury. Some of the reports are for internal use and while others are used for compliance or Regulatory purpose including assessing stress and risks globally. Projects are executed using agile methodology. CDC (Client Data Certification) is an integral part of each report by identifying CID attributes and establishing entitlements. Projects are executed in Agile SCRUM Methodology with DevOps across teams. * Responsible for overall delivery of each project and managing program dependencies * Business case development, business adoption, presentation and user training * Responsible for driving monthly Governance and Steering committee reporting to senior management * Manages multiple Architects, Project Managers, Business Analysts, developers, testers and project leads. * Responsible Stakeholder management, Benefit Management and Governance * Responsible for Data architecture, data governance, data quality and data modelling * Responsible for Metadata Strategy, Metadata Capture and Storage, Metadata Integration &amp; Publication and Metadata Management &amp; Governance * Defined and created Business glossary and Data dictionary for Metadata Management * Implemented IBM Financial Planning tool for Capital Market Domain * Designed and implemented Data Lineage as part of Metadata Management * Automated Metadata capture using Informatica. * Responsible for coordinating shared services, release management and user trainings * Technologies used UNIX, Kyriba treasury system, Informatica, QlikView, Cognos, Java, Jira, Oracle, Cognos TM1.</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11/2014 - 6/2015</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Barclays Bank</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Senior Program Manager (Development) -Compliance</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Employer - Cognizant Technologies Ltd Barclays strategic Reporting Framework is a cross-asset firm-wide response to global reporting requirements. Compliance regulatory reporting are mandated by law and of highest priority. Managing 5 development project with a global team located in New York, London, Singapore and India. Responsibility include Stakeholder management, Benefit management and Governance. Projects include ODRF and SCRA reporting which involves regulatory reporting for rates asset class and Service Member Civil relief act, Replay tool development to replay messages to DTCC for all asset classes, Rainstor Database migration - an archival process to archive 16 GB of data every day to Rainstor platform and database from current SQL server based database with ability to retrieve historical data at short notice for regulatory requirements, Top 25 enhancements, which include top 25 Jira requests (enhancements). * Responsible for Stakeholder Management and Governance reporting * Involved in implementing PMO process standards and best practices including BPM * Responsible for program strategy identification, implementation and Benefit management * Implemented scrum using backlog tracking, burn-down metrics, velocity, and task definition. * Identification and implementation of standards and operating models * Responsible for the overall delivery of various teams in the program. * Tracking program and project level financials * Coached team on Scrum * Technologies used include UNIX, Windows, Java, MS SQL Server and Rainstor, DQ Profiler and dashboard</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11/2013 - 11/2014</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Citibank</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Senior Program Manager (Development)</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Employer - Cognizant Technologies Ltd Citi was standardizing Base Number, Legal entity and Account data received from multiple product processors globally and consolidating then in Global Customer and Account repository, a Citi reference data Model (CRDM) using IBM BDW model MDM architecture. CRDM is the golden source for Account and Base master and reference data across Citi applications. Data from CRDM will be received by various applications as End of day feed or Real-Time using Salesforce services. The CRDM will satisfy the data requirement of compliance programs such as KYC - Know Your Customer, BASEL 3 and FATCA - Foreign Account Tax Compliance, AML - Anti Money Laundering. Master data includes Base Number, Account number and product relationship. Reference data includes Country, currency, transaction codes, Geography, rates etc. * Managed 10 to 15 active projects at any given point of time. * Responsible for overall delivery of each project * Responsible for driving monthly Governance and Steering committee reporting to senior management * Manages multiple Project Managers, Architects, Business Analysts, developers, testers and project leads. * Responsible for tracking project planning thru implementation of individual projects * Involved in Risk analysis and Mitigation * Defined and created Data dictionary for Metadata Management * Designed and implemented Data Lineage as part of Metadata Management * Implemented cost saving measures and improved resource utilization * Implemented quality improvement measures across the program * Program control using Phase-gate reviews * Implemented multiple best practices and standardized and tracked process compliance * Managed Database upgrade and Windows upgrade. * Technologies used include UNIX, Salesforce, Abinitio, Oracle, Planview and MS office, Informatica MDM. * Worked with Citi Management for Various capability presentations and RFP responses</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6/2013 - 11/2013</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Pharmacy Benefit Management</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Program Manager (Development)</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Employer - Cognizant Technologies Ltd Reporting into director of Claims, I managed multiple data integration projects as part of M&amp;A between Express Scripts and Medco. There was a need to build a new system to accommodate the Claims data from both the firms. As part of the M&amp;A, Pharmacy demographic data, Network data and Rates and Fee information were being migrated from the Legacy based Anchor system from ESI Corporation to the newly built system known as F14. * Involved in Project planning and staffing, cost estimation, scheduling and tracking. * Managed integration of Pharmacy Benefit Management between Medco and Express Scripts * Involved in Governance reporting to senior management * Manages multiple Project Managers, Architects, Business Analysts, developers, testers and project leads.</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3/2010 - 6/2013</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Enterprise Information</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Senior Program Manager /Pre Sales (Development and Application Support)</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www.avon.com Employer - Cognizant Technologies Ltd Reporting into director of Enterprise Information Delivery, I managed Data warehouse, ETL and Business intelligence development and support for entire Avon global organization. I was responsible for 30+ development projects and a support team with a monthly turnover of more than 700 production tickets. Total team size is 150+ spread across multiple geographical locations. Additionally managed as a practice leader and Pre-sales manager for CPG Data warehousing accounts across East Coast. Responsible for 15 plus accounts. * Involved in Project planning and staffing, cost estimation, scheduling and tracking. * Managed a budget of over $15 million and a Target revenue of $20 Million. * Managed 15+ Data warehousing accounts across North East * Managed a team for Master Data Management (MDM) of Products and Customer (Oracle) * Involved in planning thru implementations for new development projects. * Managed CRM and Sales/Marketing applications (CPQ, Sales Cloud and Service Cloud) * Manages multiple Project Managers, Architects, Business Analysts, developers, testers and project leads. * Implemented Micro strategy Mobile and Informatica cloud * Followed PMP for life cycle projects and ITIL for support projects. * Responsible for coming up with common practice for capturing risks, issues, benefits and lessons learned. * Responsible for SOW Negotiations, Program initiations, Contract negotiations and vendor management * Involved in Data Modeling, Data Mart, Data Governance and Database development and support * Responsible for RFP response, revenue targets, billing, cost estimation, financial forecasting. * Involved in capability presentations, large deal responses and C+ level relationship building * Upgraded Hyperion planning to 11.1.2.1 from 9.x * Executed multiple Big Data Cloud and transformational projects and POC's for various clients. * Technologies used include UNIX, Windows, J2EE, Java, PL/SQL, Informatica, SharePoint, Micro Strategy, Hyperion, DB2, Oracle and Sybase, Hadoop, Social Media.</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1/2008 - 3/2010</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Morgan Stanley Smith Barney</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Portfolio Manager (Maintenance, Enhancement and Application Support)</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111 Wall St, NY. www.morganstanleysmithbarney.com Employer - Infosys Technologies</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1/2007 - 12/2007</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Citibank</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Project Manager (Development), Global Wealth Management</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Citi Private Bank, Project One, Long Island City, New York. Employer - Infosys Technologies</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1/2006 - 12/2006</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Blue Cross Blue Shield</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Project Manager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Harrisburg, Pennsylvania. www.highmarkbcbs.com</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1/2002 - 6/2005</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Deloitte Consulting</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Lead Analyst</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Charleston, WV. www.deloitte.com</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9/2001 - 1/2002</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xml:space="preserve">Caterpillar </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Senior Programmer Analyst</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2/2001 - 8/2001</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Citicorp Northern Europe, Germany. www.citi.com</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Team Lead</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5/2000 - 1/2001</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AETNA. www.aetna.com</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Consultant Programmer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9/1998 - 4/2000</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America West Airlines</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Module Leader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1/1998 - 8/1998</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International Datamedia (I) Pvt., Ltd</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Mainframe Programmer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India (Client - Selective Insurance)</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9/1997 - 12/1997</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International Data media (I) Pvt., Ltd</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Mainframe Programmer</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India (Client - Northwest Airlines)</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2271"/>
        <w:gridCol w:w="2271"/>
        <w:gridCol w:w="2271"/>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EDUCATION:</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MANGALORE UNIVERSITY</w:t>
            </w:r>
          </w:p>
        </w:tc>
        <w:tc>
          <w:tcPr>
            <w:tcW w:w="22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Bachelor's Degree</w:t>
            </w: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gridSpan w:val="3"/>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Bachelor of Engineering in Computer Science. HARDWARE &amp; SOFTWARE: HADOOP, PIG, HIVE, HBASE, MAPREDUCE, SQOOP, ZOOKEEPER, J2EE, ETL, JAVA, XML, UML, IBM WEBSPHERE, IBM BDW, UNIX, COGNOS, TM1, BUSINESS OBJECTS, MICROSTRATEGY, ESSBASE, Hyperion, ABINITIO, INFORMATICA, ETL, ORACLE Financials, Snowflake, ORACLE, TOAD, SQL SERVER, SYBASE, EDI, MVS, CICS, DB2, IMS, IDMS, VS-COBOL-II, JCL, MQ Series, SQL, SPUFI, QMF, TELON, AFP, OGL, PAGEDEF, FORMDEF, AUTOSYS, MS-WORD, MS-EXCEL, MS-PROJECT, MS-POWERPOINT, MS-ACCESS, VISIO, WINDOWS-XP, AOP, HIPAA, USE CASE, RATIONAL REQPRO, CLEARQUEST, CLEARCASE, MS-PROJECT, PLANVIEW, BPM, REMEDY, JIRA, nGage, Cedar, Navigator, CAQH, HP PPM Devops and Primavera.</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2937"/>
        <w:gridCol w:w="6813"/>
      </w:tblGrid>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CERTIFICATION:</w:t>
            </w: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4. PMP Certified.</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3. ITIL Certified.</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2. Agile Scrum Master certified.</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PMP Certified</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ITIL Certified</w:t>
            </w:r>
          </w:p>
        </w:tc>
      </w:tr>
      <w:tr>
        <w:tblPrEx>
          <w:tblW w:w="9750" w:type="dxa"/>
          <w:tblCellSpacing w:w="0" w:type="dxa"/>
          <w:tblCellMar>
            <w:top w:w="0" w:type="dxa"/>
            <w:left w:w="0" w:type="dxa"/>
            <w:bottom w:w="0" w:type="dxa"/>
            <w:right w:w="0" w:type="dxa"/>
          </w:tblCellMar>
        </w:tblPrEx>
        <w:trPr>
          <w:trHeight w:val="225"/>
          <w:tblCellSpacing w:w="0" w:type="dxa"/>
        </w:trPr>
        <w:tc>
          <w:tcPr>
            <w:gridSpan w:val="2"/>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tcW w:w="2805" w:type="dxa"/>
            <w:noWrap w:val="0"/>
            <w:tcMar>
              <w:top w:w="0" w:type="dxa"/>
              <w:left w:w="105"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p>
        </w:tc>
        <w:tc>
          <w:tcPr>
            <w:tcW w:w="6750" w:type="dxa"/>
            <w:noWrap w:val="0"/>
            <w:tcMar>
              <w:top w:w="0" w:type="dxa"/>
              <w:left w:w="0" w:type="dxa"/>
              <w:bottom w:w="0" w:type="dxa"/>
              <w:right w:w="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Project Management Professional</w:t>
            </w:r>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vanish/>
        </w:rPr>
      </w:pPr>
    </w:p>
    <w:tbl>
      <w:tblPr>
        <w:tblW w:w="9750" w:type="dxa"/>
        <w:tblCellSpacing w:w="0" w:type="dxa"/>
        <w:tblCellMar>
          <w:top w:w="0" w:type="dxa"/>
          <w:left w:w="0" w:type="dxa"/>
          <w:bottom w:w="0" w:type="dxa"/>
          <w:right w:w="0" w:type="dxa"/>
        </w:tblCellMar>
      </w:tblPr>
      <w:tblGrid>
        <w:gridCol w:w="9750"/>
      </w:tblGrid>
      <w:tr>
        <w:tblPrEx>
          <w:tblW w:w="9750" w:type="dxa"/>
          <w:tblCellSpacing w:w="0" w:type="dxa"/>
          <w:tblCellMar>
            <w:top w:w="0" w:type="dxa"/>
            <w:left w:w="0" w:type="dxa"/>
            <w:bottom w:w="0" w:type="dxa"/>
            <w:right w:w="0" w:type="dxa"/>
          </w:tblCellMar>
        </w:tblPrEx>
        <w:trPr>
          <w:trHeight w:val="300"/>
          <w:tblCellSpacing w:w="0" w:type="dxa"/>
        </w:trPr>
        <w:tc>
          <w:tcPr>
            <w:tcW w:w="5000" w:type="pct"/>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shd w:val="clear" w:color="auto" w:fill="E5ECF3"/>
            <w:noWrap w:val="0"/>
            <w:tcMar>
              <w:top w:w="0" w:type="dxa"/>
              <w:left w:w="0" w:type="dxa"/>
              <w:bottom w:w="0" w:type="dxa"/>
              <w:right w:w="0" w:type="dxa"/>
            </w:tcMar>
            <w:vAlign w:val="center"/>
            <w:hideMark/>
          </w:tcPr>
          <w:tbl>
            <w:tblPr>
              <w:tblStyle w:val="sectionHeaderBackground"/>
              <w:tblW w:w="5000" w:type="pct"/>
              <w:tblCellSpacing w:w="0" w:type="dxa"/>
              <w:tblCellMar>
                <w:top w:w="0" w:type="dxa"/>
                <w:left w:w="0" w:type="dxa"/>
                <w:bottom w:w="0" w:type="dxa"/>
                <w:right w:w="0" w:type="dxa"/>
              </w:tblCellMar>
              <w:tblLook w:val="05E0"/>
            </w:tblPr>
            <w:tblGrid>
              <w:gridCol w:w="2700"/>
              <w:gridCol w:w="7050"/>
            </w:tblGrid>
            <w:tr>
              <w:tblPrEx>
                <w:tblW w:w="5000" w:type="pct"/>
                <w:tblCellSpacing w:w="0" w:type="dxa"/>
                <w:tblCellMar>
                  <w:top w:w="0" w:type="dxa"/>
                  <w:left w:w="0" w:type="dxa"/>
                  <w:bottom w:w="0" w:type="dxa"/>
                  <w:right w:w="0" w:type="dxa"/>
                </w:tblCellMar>
                <w:tblLook w:val="05E0"/>
              </w:tblPrEx>
              <w:trPr>
                <w:trHeight w:val="270"/>
                <w:tblCellSpacing w:w="0" w:type="dxa"/>
              </w:trPr>
              <w:tc>
                <w:tcPr>
                  <w:tcW w:w="2700" w:type="dxa"/>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bookmarkStart w:id="0" w:name="summary"/>
                  <w:r>
                    <w:rPr>
                      <w:rStyle w:val="boldText"/>
                      <w:rFonts w:ascii="Arial Unicode MS" w:eastAsia="Arial Unicode MS" w:hAnsi="Arial Unicode MS" w:cs="Arial Unicode MS"/>
                      <w:b w:val="0"/>
                      <w:bCs w:val="0"/>
                      <w:i w:val="0"/>
                      <w:iCs w:val="0"/>
                      <w:smallCaps w:val="0"/>
                      <w:color w:val="000000"/>
                    </w:rPr>
                    <w:t>Additional Info</w:t>
                  </w:r>
                </w:p>
              </w:tc>
              <w:tc>
                <w:tcPr>
                  <w:noWrap w:val="0"/>
                  <w:tcMar>
                    <w:top w:w="0" w:type="dxa"/>
                    <w:left w:w="0" w:type="dxa"/>
                    <w:bottom w:w="0" w:type="dxa"/>
                    <w:right w:w="0" w:type="dxa"/>
                  </w:tcMar>
                  <w:vAlign w:val="center"/>
                  <w:hideMark/>
                </w:tcPr>
                <w:p>
                  <w:pPr>
                    <w:jc w:val="right"/>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w:t>
                  </w:r>
                </w:p>
              </w:tc>
            </w:tr>
          </w:tbl>
          <w:p>
            <w:pPr>
              <w:rPr>
                <w:rFonts w:ascii="Arial Unicode MS" w:eastAsia="Arial Unicode MS" w:hAnsi="Arial Unicode MS" w:cs="Arial Unicode MS"/>
                <w:b w:val="0"/>
                <w:bCs w:val="0"/>
                <w:i w:val="0"/>
                <w:iCs w:val="0"/>
                <w:smallCaps w:val="0"/>
                <w:color w:val="000000"/>
              </w:rPr>
            </w:pPr>
            <w:bookmarkEnd w:id="0"/>
          </w:p>
        </w:tc>
      </w:tr>
      <w:tr>
        <w:tblPrEx>
          <w:tblW w:w="9750" w:type="dxa"/>
          <w:tblCellSpacing w:w="0" w:type="dxa"/>
          <w:tblCellMar>
            <w:top w:w="0" w:type="dxa"/>
            <w:left w:w="0" w:type="dxa"/>
            <w:bottom w:w="0" w:type="dxa"/>
            <w:right w:w="0" w:type="dxa"/>
          </w:tblCellMar>
        </w:tblPrEx>
        <w:trPr>
          <w:trHeight w:val="225"/>
          <w:tblCellSpacing w:w="0" w:type="dxa"/>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9750" w:type="dxa"/>
          <w:tblCellSpacing w:w="0" w:type="dxa"/>
          <w:tblCellMar>
            <w:top w:w="0" w:type="dxa"/>
            <w:left w:w="0" w:type="dxa"/>
            <w:bottom w:w="0" w:type="dxa"/>
            <w:right w:w="0" w:type="dxa"/>
          </w:tblCellMar>
        </w:tblPrEx>
        <w:trPr>
          <w:tblCellSpacing w:w="0" w:type="dxa"/>
        </w:trPr>
        <w:tc>
          <w:tcPr>
            <w:noWrap w:val="0"/>
            <w:tcMar>
              <w:top w:w="0" w:type="dxa"/>
              <w:left w:w="0" w:type="dxa"/>
              <w:bottom w:w="0" w:type="dxa"/>
              <w:right w:w="0" w:type="dxa"/>
            </w:tcMar>
            <w:vAlign w:val="center"/>
            <w:hideMark/>
          </w:tcPr>
          <w:tbl>
            <w:tblPr>
              <w:tblStyle w:val="xslSummaryTable"/>
              <w:tblW w:w="5000" w:type="pct"/>
              <w:jc w:val="center"/>
              <w:tblCellSpacing w:w="0" w:type="dxa"/>
              <w:tblCellMar>
                <w:top w:w="0" w:type="dxa"/>
                <w:left w:w="0" w:type="dxa"/>
                <w:bottom w:w="0" w:type="dxa"/>
                <w:right w:w="0" w:type="dxa"/>
              </w:tblCellMar>
              <w:tblLook w:val="05E0"/>
            </w:tblPr>
            <w:tblGrid>
              <w:gridCol w:w="9750"/>
            </w:tblGrid>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rHeight w:val="150"/>
                <w:tblCellSpacing w:w="0" w:type="dxa"/>
                <w:jc w:val="center"/>
              </w:trPr>
              <w:tc>
                <w:tcPr>
                  <w:noWrap w:val="0"/>
                  <w:tcMar>
                    <w:top w:w="0" w:type="dxa"/>
                    <w:left w:w="0" w:type="dxa"/>
                    <w:bottom w:w="0" w:type="dxa"/>
                    <w:right w:w="0" w:type="dxa"/>
                  </w:tcMa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jc w:val="center"/>
                <w:tblCellSpacing w:w="0" w:type="dxa"/>
                <w:tblCellMar>
                  <w:top w:w="0" w:type="dxa"/>
                  <w:left w:w="0" w:type="dxa"/>
                  <w:bottom w:w="0" w:type="dxa"/>
                  <w:right w:w="0" w:type="dxa"/>
                </w:tblCellMar>
                <w:tblLook w:val="05E0"/>
              </w:tblPrEx>
              <w:trPr>
                <w:tblCellSpacing w:w="0" w:type="dxa"/>
                <w:jc w:val="center"/>
              </w:trPr>
              <w:tc>
                <w:tcPr>
                  <w:noWrap w:val="0"/>
                  <w:tcMar>
                    <w:top w:w="0" w:type="dxa"/>
                    <w:left w:w="0" w:type="dxa"/>
                    <w:bottom w:w="0" w:type="dxa"/>
                    <w:right w:w="0" w:type="dxa"/>
                  </w:tcMar>
                  <w:vAlign w:val="center"/>
                  <w:hideMark/>
                </w:tcPr>
                <w:tbl>
                  <w:tblPr>
                    <w:tblW w:w="5000" w:type="pct"/>
                    <w:tblCellSpacing w:w="0" w:type="dxa"/>
                    <w:tblCellMar>
                      <w:top w:w="30" w:type="dxa"/>
                      <w:left w:w="30" w:type="dxa"/>
                      <w:bottom w:w="30" w:type="dxa"/>
                      <w:right w:w="30" w:type="dxa"/>
                    </w:tblCellMar>
                  </w:tblPr>
                  <w:tblGrid>
                    <w:gridCol w:w="2695"/>
                    <w:gridCol w:w="4209"/>
                    <w:gridCol w:w="2846"/>
                  </w:tblGrid>
                  <w:tr>
                    <w:tblPrEx>
                      <w:tblW w:w="5000" w:type="pct"/>
                      <w:tblCellSpacing w:w="0" w:type="dxa"/>
                      <w:tblCellMar>
                        <w:top w:w="30" w:type="dxa"/>
                        <w:left w:w="30" w:type="dxa"/>
                        <w:bottom w:w="30" w:type="dxa"/>
                        <w:right w:w="30" w:type="dxa"/>
                      </w:tblCellMar>
                    </w:tblPrEx>
                    <w:trPr>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30" w:type="dxa"/>
                        <w:left w:w="30" w:type="dxa"/>
                        <w:bottom w:w="30" w:type="dxa"/>
                        <w:right w:w="30" w:type="dxa"/>
                      </w:tblCellMar>
                    </w:tblPrEx>
                    <w:trPr>
                      <w:tblCellSpacing w:w="0" w:type="dxa"/>
                    </w:trPr>
                    <w:tc>
                      <w:tcPr>
                        <w:tcW w:w="2535" w:type="dxa"/>
                        <w:noWrap w:val="0"/>
                        <w:tcMar>
                          <w:top w:w="30" w:type="dxa"/>
                          <w:left w:w="105"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Target Locations:</w:t>
                        </w:r>
                      </w:p>
                    </w:tc>
                    <w:tc>
                      <w:tcPr>
                        <w:tcW w:w="411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Selected Locations:</w:t>
                        </w:r>
                      </w:p>
                    </w:tc>
                    <w:tc>
                      <w:tcPr>
                        <w:tcW w:w="276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US-CA-Silicon Valley/Peninsula</w:t>
                        </w:r>
                      </w:p>
                    </w:tc>
                  </w:tr>
                  <w:tr>
                    <w:tblPrEx>
                      <w:tblW w:w="5000" w:type="pct"/>
                      <w:tblCellSpacing w:w="0" w:type="dxa"/>
                      <w:tblCellMar>
                        <w:top w:w="30" w:type="dxa"/>
                        <w:left w:w="30" w:type="dxa"/>
                        <w:bottom w:w="30" w:type="dxa"/>
                        <w:right w:w="30" w:type="dxa"/>
                      </w:tblCellMar>
                    </w:tblPrEx>
                    <w:trPr>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30" w:type="dxa"/>
                        <w:left w:w="30" w:type="dxa"/>
                        <w:bottom w:w="30" w:type="dxa"/>
                        <w:right w:w="30" w:type="dxa"/>
                      </w:tblCellMar>
                    </w:tblPrEx>
                    <w:trPr>
                      <w:tblCellSpacing w:w="0" w:type="dxa"/>
                    </w:trPr>
                    <w:tc>
                      <w:tcPr>
                        <w:tcW w:w="2535" w:type="dxa"/>
                        <w:noWrap w:val="0"/>
                        <w:tcMar>
                          <w:top w:w="30" w:type="dxa"/>
                          <w:left w:w="105"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p>
                    </w:tc>
                    <w:tc>
                      <w:tcPr>
                        <w:tcW w:w="411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Relocate:</w:t>
                        </w:r>
                      </w:p>
                    </w:tc>
                    <w:tc>
                      <w:tcPr>
                        <w:tcW w:w="276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No</w:t>
                        </w:r>
                      </w:p>
                    </w:tc>
                  </w:tr>
                  <w:tr>
                    <w:tblPrEx>
                      <w:tblW w:w="5000" w:type="pct"/>
                      <w:tblCellSpacing w:w="0" w:type="dxa"/>
                      <w:tblCellMar>
                        <w:top w:w="30" w:type="dxa"/>
                        <w:left w:w="30" w:type="dxa"/>
                        <w:bottom w:w="30" w:type="dxa"/>
                        <w:right w:w="30" w:type="dxa"/>
                      </w:tblCellMar>
                    </w:tblPrEx>
                    <w:trPr>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r>
                    <w:tblPrEx>
                      <w:tblW w:w="5000" w:type="pct"/>
                      <w:tblCellSpacing w:w="0" w:type="dxa"/>
                      <w:tblCellMar>
                        <w:top w:w="30" w:type="dxa"/>
                        <w:left w:w="30" w:type="dxa"/>
                        <w:bottom w:w="30" w:type="dxa"/>
                        <w:right w:w="30" w:type="dxa"/>
                      </w:tblCellMar>
                    </w:tblPrEx>
                    <w:trPr>
                      <w:tblCellSpacing w:w="0" w:type="dxa"/>
                    </w:trPr>
                    <w:tc>
                      <w:tcPr>
                        <w:tcW w:w="2535" w:type="dxa"/>
                        <w:noWrap w:val="0"/>
                        <w:tcMar>
                          <w:top w:w="30" w:type="dxa"/>
                          <w:left w:w="105"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p>
                    </w:tc>
                    <w:tc>
                      <w:tcPr>
                        <w:tcW w:w="411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bCs/>
                            <w:i w:val="0"/>
                            <w:iCs w:val="0"/>
                            <w:smallCaps w:val="0"/>
                            <w:color w:val="000000"/>
                          </w:rPr>
                          <w:t>Willingness to travel:</w:t>
                        </w:r>
                      </w:p>
                    </w:tc>
                    <w:tc>
                      <w:tcPr>
                        <w:tcW w:w="2760" w:type="dxa"/>
                        <w:noWrap w:val="0"/>
                        <w:tcMar>
                          <w:top w:w="30" w:type="dxa"/>
                          <w:left w:w="30" w:type="dxa"/>
                          <w:bottom w:w="30" w:type="dxa"/>
                          <w:right w:w="30" w:type="dxa"/>
                        </w:tcMar>
                        <w:vAlign w:val="top"/>
                        <w:hideMark/>
                      </w:tcPr>
                      <w:p>
                        <w:pPr>
                          <w:rPr>
                            <w:rFonts w:ascii="Arial Unicode MS" w:eastAsia="Arial Unicode MS" w:hAnsi="Arial Unicode MS" w:cs="Arial Unicode MS"/>
                            <w:b w:val="0"/>
                            <w:bCs w:val="0"/>
                            <w:i w:val="0"/>
                            <w:iCs w:val="0"/>
                            <w:smallCaps w:val="0"/>
                            <w:color w:val="000000"/>
                          </w:rPr>
                        </w:pPr>
                        <w:r>
                          <w:rPr>
                            <w:rFonts w:ascii="Arial Unicode MS" w:eastAsia="Arial Unicode MS" w:hAnsi="Arial Unicode MS" w:cs="Arial Unicode MS"/>
                            <w:b w:val="0"/>
                            <w:bCs w:val="0"/>
                            <w:i w:val="0"/>
                            <w:iCs w:val="0"/>
                            <w:smallCaps w:val="0"/>
                            <w:color w:val="000000"/>
                          </w:rPr>
                          <w:t xml:space="preserve">No Travel Required </w:t>
                        </w:r>
                      </w:p>
                    </w:tc>
                  </w:tr>
                  <w:tr>
                    <w:tblPrEx>
                      <w:tblW w:w="5000" w:type="pct"/>
                      <w:tblCellSpacing w:w="0" w:type="dxa"/>
                      <w:tblCellMar>
                        <w:top w:w="30" w:type="dxa"/>
                        <w:left w:w="30" w:type="dxa"/>
                        <w:bottom w:w="30" w:type="dxa"/>
                        <w:right w:w="30" w:type="dxa"/>
                      </w:tblCellMar>
                    </w:tblPrEx>
                    <w:trPr>
                      <w:trHeight w:val="225"/>
                      <w:tblCellSpacing w:w="0" w:type="dxa"/>
                    </w:trPr>
                    <w:tc>
                      <w:tcPr>
                        <w:noWrap w:val="0"/>
                        <w:tcMar>
                          <w:top w:w="30" w:type="dxa"/>
                          <w:left w:w="30" w:type="dxa"/>
                          <w:bottom w:w="30" w:type="dxa"/>
                          <w:right w:w="30" w:type="dxa"/>
                        </w:tcMa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c>
                      <w:tcPr>
                        <w:vAlign w:val="center"/>
                        <w:hideMark/>
                      </w:tcPr>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b w:val="0"/>
                <w:bCs w:val="0"/>
                <w:i w:val="0"/>
                <w:iCs w:val="0"/>
                <w:smallCaps w:val="0"/>
                <w:color w:val="000000"/>
              </w:rPr>
            </w:pPr>
          </w:p>
        </w:tc>
      </w:tr>
    </w:tbl>
    <w:p>
      <w:pPr>
        <w:rPr>
          <w:rFonts w:ascii="Arial Unicode MS" w:eastAsia="Arial Unicode MS" w:hAnsi="Arial Unicode MS" w:cs="Arial Unicode MS"/>
        </w:rPr>
      </w:pP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val="0"/>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val="0"/>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val="0"/>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val="0"/>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val="0"/>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val="0"/>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character" w:customStyle="1" w:styleId="boldText">
    <w:name w:val="boldText"/>
    <w:basedOn w:val="DefaultParagraphFont"/>
  </w:style>
  <w:style w:type="table" w:customStyle="1" w:styleId="sectionHeaderBackground">
    <w:name w:val="sectionHeaderBackground"/>
    <w:basedOn w:val="TableNormal"/>
    <w:tblPr/>
  </w:style>
  <w:style w:type="table" w:customStyle="1" w:styleId="xslSummaryTable">
    <w:name w:val="xslSummary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