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140" w:before="0" w:line="264"/>
      </w:pPr>
      <w:r>
        <w:rPr>
          <w:rFonts w:ascii="Calibri" w:cs="Calibri" w:eastAsia="Calibri" w:hAnsi="Calibri"/>
          <w:b/>
          <w:bCs/>
          <w:caps/>
          <w:color w:val="2861FD"/>
          <w:spacing w:val="90"/>
          <w:sz w:val="17"/>
          <w:szCs w:val="17"/>
        </w:rPr>
        <w:t xml:space="preserve">SPECIFICATIONS PLATFORM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B3769"/>
          <w:sz w:val="72"/>
          <w:szCs w:val="72"/>
        </w:rPr>
        <w:t xml:space="preserve">Phase 4</w:t>
      </w:r>
    </w:p>
    <w:p>
      <w:pPr>
        <w:spacing w:after="260" w:before="0" w:line="264"/>
      </w:pPr>
      <w:r>
        <w:rPr>
          <w:rFonts w:ascii="Calibri" w:cs="Calibri" w:eastAsia="Calibri" w:hAnsi="Calibri"/>
          <w:color w:val="0D1E3F"/>
          <w:sz w:val="38"/>
          <w:szCs w:val="38"/>
        </w:rPr>
        <w:t xml:space="preserve">Data Model</w:t>
      </w:r>
    </w:p>
    <w:p>
      <w:pPr>
        <w:pBdr>
          <w:bottom w:val="single" w:color="2861FD" w:sz="12"/>
        </w:pBdr>
        <w:spacing w:after="300"/>
      </w:pPr>
    </w:p>
    <w:p>
      <w:pPr>
        <w:spacing w:after="180" w:before="0" w:line="264"/>
      </w:pPr>
      <w:r>
        <w:rPr>
          <w:rFonts w:ascii="Calibri" w:cs="Calibri" w:eastAsia="Calibri" w:hAnsi="Calibri"/>
          <w:b/>
          <w:bCs/>
          <w:color w:val="1B3769"/>
          <w:sz w:val="21"/>
          <w:szCs w:val="21"/>
        </w:rPr>
        <w:t xml:space="preserve">Deliverable 9 of 12</w:t>
      </w:r>
    </w:p>
    <w:p>
      <w:pPr>
        <w:spacing w:after="50" w:before="0" w:line="264"/>
      </w:pPr>
      <w:r>
        <w:rPr>
          <w:rFonts w:ascii="Calibri" w:cs="Calibri" w:eastAsia="Calibri" w:hAnsi="Calibri"/>
          <w:color w:val="4B5870"/>
          <w:sz w:val="18"/>
          <w:szCs w:val="18"/>
        </w:rPr>
        <w:t xml:space="preserve">Prepared for  </w:t>
      </w:r>
      <w:r>
        <w:rPr>
          <w:rFonts w:ascii="Calibri" w:cs="Calibri" w:eastAsia="Calibri" w:hAnsi="Calibri"/>
          <w:b/>
          <w:bCs/>
          <w:color w:val="0D1E3F"/>
          <w:sz w:val="18"/>
          <w:szCs w:val="18"/>
        </w:rPr>
        <w:t xml:space="preserve">Moses Mkhumbuza</w:t>
      </w:r>
    </w:p>
    <w:p>
      <w:pPr>
        <w:spacing w:after="50" w:before="0" w:line="264"/>
      </w:pPr>
      <w:r>
        <w:rPr>
          <w:rFonts w:ascii="Calibri" w:cs="Calibri" w:eastAsia="Calibri" w:hAnsi="Calibri"/>
          <w:color w:val="4B5870"/>
          <w:sz w:val="18"/>
          <w:szCs w:val="18"/>
        </w:rPr>
        <w:t xml:space="preserve">Project  </w:t>
      </w:r>
      <w:r>
        <w:rPr>
          <w:rFonts w:ascii="Calibri" w:cs="Calibri" w:eastAsia="Calibri" w:hAnsi="Calibri"/>
          <w:b/>
          <w:bCs/>
          <w:color w:val="0D1E3F"/>
          <w:sz w:val="18"/>
          <w:szCs w:val="18"/>
        </w:rPr>
        <w:t xml:space="preserve">Malls Specs — reusable specification portal</w:t>
      </w:r>
    </w:p>
    <w:p>
      <w:pPr>
        <w:spacing w:after="50" w:before="0" w:line="264"/>
      </w:pPr>
      <w:r>
        <w:rPr>
          <w:rFonts w:ascii="Calibri" w:cs="Calibri" w:eastAsia="Calibri" w:hAnsi="Calibri"/>
          <w:color w:val="4B5870"/>
          <w:sz w:val="18"/>
          <w:szCs w:val="18"/>
        </w:rPr>
        <w:t xml:space="preserve">Contents  </w:t>
      </w:r>
      <w:r>
        <w:rPr>
          <w:rFonts w:ascii="Calibri" w:cs="Calibri" w:eastAsia="Calibri" w:hAnsi="Calibri"/>
          <w:b/>
          <w:bCs/>
          <w:color w:val="0D1E3F"/>
          <w:sz w:val="18"/>
          <w:szCs w:val="18"/>
        </w:rPr>
        <w:t xml:space="preserve">13 entities · 4 diagrams · 23 automated checks</w:t>
      </w:r>
    </w:p>
    <w:p>
      <w:pPr>
        <w:spacing w:after="50" w:before="0" w:line="264"/>
      </w:pPr>
      <w:r>
        <w:rPr>
          <w:rFonts w:ascii="Calibri" w:cs="Calibri" w:eastAsia="Calibri" w:hAnsi="Calibri"/>
          <w:color w:val="4B5870"/>
          <w:sz w:val="18"/>
          <w:szCs w:val="18"/>
        </w:rPr>
        <w:t xml:space="preserve">Ships as  </w:t>
      </w:r>
      <w:r>
        <w:rPr>
          <w:rFonts w:ascii="Calibri" w:cs="Calibri" w:eastAsia="Calibri" w:hAnsi="Calibri"/>
          <w:b/>
          <w:bCs/>
          <w:color w:val="0D1E3F"/>
          <w:sz w:val="18"/>
          <w:szCs w:val="18"/>
        </w:rPr>
        <w:t xml:space="preserve">A type-checked TypeScript package under data-model/</w:t>
      </w:r>
    </w:p>
    <w:p>
      <w:pPr>
        <w:spacing w:after="50" w:before="0" w:line="264"/>
      </w:pPr>
      <w:r>
        <w:rPr>
          <w:rFonts w:ascii="Calibri" w:cs="Calibri" w:eastAsia="Calibri" w:hAnsi="Calibri"/>
          <w:color w:val="4B5870"/>
          <w:sz w:val="18"/>
          <w:szCs w:val="18"/>
        </w:rPr>
        <w:t xml:space="preserve">Date  </w:t>
      </w:r>
      <w:r>
        <w:rPr>
          <w:rFonts w:ascii="Calibri" w:cs="Calibri" w:eastAsia="Calibri" w:hAnsi="Calibri"/>
          <w:b/>
          <w:bCs/>
          <w:color w:val="0D1E3F"/>
          <w:sz w:val="18"/>
          <w:szCs w:val="18"/>
        </w:rPr>
        <w:t xml:space="preserve">7 August 2026</w:t>
      </w:r>
    </w:p>
    <w:p>
      <w:pPr>
        <w:spacing w:after="50" w:before="0" w:line="264"/>
      </w:pPr>
      <w:r>
        <w:rPr>
          <w:rFonts w:ascii="Calibri" w:cs="Calibri" w:eastAsia="Calibri" w:hAnsi="Calibri"/>
          <w:color w:val="4B5870"/>
          <w:sz w:val="18"/>
          <w:szCs w:val="18"/>
        </w:rPr>
        <w:t xml:space="preserve">Status  </w:t>
      </w:r>
      <w:r>
        <w:rPr>
          <w:rFonts w:ascii="Calibri" w:cs="Calibri" w:eastAsia="Calibri" w:hAnsi="Calibri"/>
          <w:b/>
          <w:bCs/>
          <w:color w:val="2861FD"/>
          <w:sz w:val="18"/>
          <w:szCs w:val="18"/>
        </w:rPr>
        <w:t xml:space="preserve">Awaiting approval to proceed to Phase 5</w:t>
      </w:r>
    </w:p>
    <w:p>
      <w:pPr>
        <w:spacing w:after="240"/>
      </w:pPr>
    </w:p>
    <w:tbl>
      <w:tblPr>
        <w:tblW w:type="dxa" w:w="12600"/>
        <w:tblBorders>
          <w:top w:val="single" w:color="D8DEEC" w:sz="4"/>
          <w:left w:val="single" w:color="2861FD" w:sz="18"/>
          <w:bottom w:val="single" w:color="D8DEEC" w:sz="4"/>
          <w:right w:val="single" w:color="D8DEEC" w:sz="4"/>
          <w:insideH w:val="none"/>
          <w:insideV w:val="none"/>
        </w:tblBorders>
      </w:tblPr>
      <w:tblGrid>
        <w:gridCol w:w="12600"/>
      </w:tblGrid>
      <w:tr>
        <w:tc>
          <w:tcPr>
            <w:tcW w:type="dxa" w:w="12600"/>
            <w:shd w:fill="F5F7FC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aps/>
                <w:color w:val="2861FD"/>
                <w:spacing w:val="30"/>
                <w:sz w:val="15"/>
                <w:szCs w:val="15"/>
              </w:rPr>
              <w:t xml:space="preserve">Confirmed for this phase</w:t>
            </w:r>
          </w:p>
          <w:p>
            <w:pPr>
              <w:spacing w:after="50" w:line="262"/>
            </w:pPr>
            <w:r>
              <w:rPr>
                <w:rFonts w:ascii="Calibri" w:cs="Calibri" w:eastAsia="Calibri" w:hAnsi="Calibri"/>
                <w:color w:val="0D1E3F"/>
                <w:sz w:val="18"/>
                <w:szCs w:val="18"/>
              </w:rPr>
              <w:t xml:space="preserve">Reference code — free text, optional, no enforced format. An existing external numbering scheme can be entered as-is.</w:t>
            </w:r>
          </w:p>
          <w:p>
            <w:pPr>
              <w:spacing w:after="50" w:line="262"/>
            </w:pPr>
            <w:r>
              <w:rPr>
                <w:rFonts w:ascii="Calibri" w:cs="Calibri" w:eastAsia="Calibri" w:hAnsi="Calibri"/>
                <w:color w:val="0D1E3F"/>
                <w:sz w:val="18"/>
                <w:szCs w:val="18"/>
              </w:rPr>
              <w:t xml:space="preserve">Category — exclusive. A specification belongs to exactly one, with tags carrying every other classification.</w:t>
            </w:r>
          </w:p>
          <w:p>
            <w:pPr>
              <w:spacing w:after="50" w:line="262"/>
            </w:pPr>
            <w:r>
              <w:rPr>
                <w:rFonts w:ascii="Calibri" w:cs="Calibri" w:eastAsia="Calibri" w:hAnsi="Calibri"/>
                <w:color w:val="0D1E3F"/>
                <w:sz w:val="18"/>
                <w:szCs w:val="18"/>
              </w:rPr>
              <w:t xml:space="preserve">Revision history — field-level diffs, written automatically on every save.</w:t>
            </w:r>
          </w:p>
          <w:p>
            <w:pPr>
              <w:spacing w:after="50" w:line="262"/>
            </w:pPr>
            <w:r>
              <w:rPr>
                <w:rFonts w:ascii="Calibri" w:cs="Calibri" w:eastAsia="Calibri" w:hAnsi="Calibri"/>
                <w:color w:val="0D1E3F"/>
                <w:sz w:val="18"/>
                <w:szCs w:val="18"/>
              </w:rPr>
              <w:t xml:space="preserve">Every model ships empty. verify.ts asserts it on every run.</w:t>
            </w:r>
          </w:p>
        </w:tc>
      </w:tr>
    </w:tbl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B3769"/>
          <w:sz w:val="32"/>
          <w:szCs w:val="32"/>
        </w:rPr>
        <w:t xml:space="preserve">Contents</w:t>
      </w:r>
    </w:p>
    <w:p>
      <w:pPr>
        <w:spacing w:after="30" w:before="150"/>
        <w:ind w:left="0"/>
      </w:pPr>
      <w:r>
        <w:rPr>
          <w:rFonts w:ascii="Calibri" w:cs="Calibri" w:eastAsia="Calibri" w:hAnsi="Calibri"/>
          <w:b/>
          <w:bCs/>
          <w:color w:val="1B3769"/>
          <w:sz w:val="21"/>
          <w:szCs w:val="21"/>
        </w:rPr>
        <w:t xml:space="preserve">1.  Modelling principles</w:t>
      </w:r>
    </w:p>
    <w:p>
      <w:pPr>
        <w:spacing w:after="30" w:before="150"/>
        <w:ind w:left="0"/>
      </w:pPr>
      <w:r>
        <w:rPr>
          <w:rFonts w:ascii="Calibri" w:cs="Calibri" w:eastAsia="Calibri" w:hAnsi="Calibri"/>
          <w:b/>
          <w:bCs/>
          <w:color w:val="1B3769"/>
          <w:sz w:val="21"/>
          <w:szCs w:val="21"/>
        </w:rPr>
        <w:t xml:space="preserve">2.  The model at a glance</w:t>
      </w:r>
    </w:p>
    <w:p>
      <w:pPr>
        <w:spacing w:after="30" w:before="30"/>
        <w:ind w:left="340"/>
      </w:pPr>
      <w:r>
        <w:rPr>
          <w:rFonts w:ascii="Calibri" w:cs="Calibri" w:eastAsia="Calibri" w:hAnsi="Calibri"/>
          <w:b w:val="false"/>
          <w:bCs w:val="false"/>
          <w:color w:val="4B5870"/>
          <w:sz w:val="18"/>
          <w:szCs w:val="18"/>
        </w:rPr>
        <w:t xml:space="preserve">M1  Entity relationship map</w:t>
      </w:r>
    </w:p>
    <w:p>
      <w:pPr>
        <w:spacing w:after="30" w:before="30"/>
        <w:ind w:left="340"/>
      </w:pPr>
      <w:r>
        <w:rPr>
          <w:rFonts w:ascii="Calibri" w:cs="Calibri" w:eastAsia="Calibri" w:hAnsi="Calibri"/>
          <w:b w:val="false"/>
          <w:bCs w:val="false"/>
          <w:color w:val="4B5870"/>
          <w:sz w:val="18"/>
          <w:szCs w:val="18"/>
        </w:rPr>
        <w:t xml:space="preserve">M2  Specification lifecycle</w:t>
      </w:r>
    </w:p>
    <w:p>
      <w:pPr>
        <w:spacing w:after="30" w:before="30"/>
        <w:ind w:left="340"/>
      </w:pPr>
      <w:r>
        <w:rPr>
          <w:rFonts w:ascii="Calibri" w:cs="Calibri" w:eastAsia="Calibri" w:hAnsi="Calibri"/>
          <w:b w:val="false"/>
          <w:bCs w:val="false"/>
          <w:color w:val="4B5870"/>
          <w:sz w:val="18"/>
          <w:szCs w:val="18"/>
        </w:rPr>
        <w:t xml:space="preserve">M3  The empty record</w:t>
      </w:r>
    </w:p>
    <w:p>
      <w:pPr>
        <w:spacing w:after="30" w:before="30"/>
        <w:ind w:left="340"/>
      </w:pPr>
      <w:r>
        <w:rPr>
          <w:rFonts w:ascii="Calibri" w:cs="Calibri" w:eastAsia="Calibri" w:hAnsi="Calibri"/>
          <w:b w:val="false"/>
          <w:bCs w:val="false"/>
          <w:color w:val="4B5870"/>
          <w:sz w:val="18"/>
          <w:szCs w:val="18"/>
        </w:rPr>
        <w:t xml:space="preserve">M4  Revision history and diffs</w:t>
      </w:r>
    </w:p>
    <w:p>
      <w:pPr>
        <w:spacing w:after="30" w:before="150"/>
        <w:ind w:left="0"/>
      </w:pPr>
      <w:r>
        <w:rPr>
          <w:rFonts w:ascii="Calibri" w:cs="Calibri" w:eastAsia="Calibri" w:hAnsi="Calibri"/>
          <w:b/>
          <w:bCs/>
          <w:color w:val="1B3769"/>
          <w:sz w:val="21"/>
          <w:szCs w:val="21"/>
        </w:rPr>
        <w:t xml:space="preserve">3.  Entities</w:t>
      </w:r>
    </w:p>
    <w:p>
      <w:pPr>
        <w:spacing w:after="30" w:before="30"/>
        <w:ind w:left="340"/>
      </w:pPr>
      <w:r>
        <w:rPr>
          <w:rFonts w:ascii="Calibri" w:cs="Calibri" w:eastAsia="Calibri" w:hAnsi="Calibri"/>
          <w:b w:val="false"/>
          <w:bCs w:val="false"/>
          <w:color w:val="4B5870"/>
          <w:sz w:val="18"/>
          <w:szCs w:val="18"/>
        </w:rPr>
        <w:t xml:space="preserve">3.1  Specification</w:t>
      </w:r>
    </w:p>
    <w:p>
      <w:pPr>
        <w:spacing w:after="30" w:before="30"/>
        <w:ind w:left="340"/>
      </w:pPr>
      <w:r>
        <w:rPr>
          <w:rFonts w:ascii="Calibri" w:cs="Calibri" w:eastAsia="Calibri" w:hAnsi="Calibri"/>
          <w:b w:val="false"/>
          <w:bCs w:val="false"/>
          <w:color w:val="4B5870"/>
          <w:sz w:val="18"/>
          <w:szCs w:val="18"/>
        </w:rPr>
        <w:t xml:space="preserve">3.2  Category and SubGroup</w:t>
      </w:r>
    </w:p>
    <w:p>
      <w:pPr>
        <w:spacing w:after="30" w:before="30"/>
        <w:ind w:left="340"/>
      </w:pPr>
      <w:r>
        <w:rPr>
          <w:rFonts w:ascii="Calibri" w:cs="Calibri" w:eastAsia="Calibri" w:hAnsi="Calibri"/>
          <w:b w:val="false"/>
          <w:bCs w:val="false"/>
          <w:color w:val="4B5870"/>
          <w:sz w:val="18"/>
          <w:szCs w:val="18"/>
        </w:rPr>
        <w:t xml:space="preserve">3.3  Tag</w:t>
      </w:r>
    </w:p>
    <w:p>
      <w:pPr>
        <w:spacing w:after="30" w:before="30"/>
        <w:ind w:left="340"/>
      </w:pPr>
      <w:r>
        <w:rPr>
          <w:rFonts w:ascii="Calibri" w:cs="Calibri" w:eastAsia="Calibri" w:hAnsi="Calibri"/>
          <w:b w:val="false"/>
          <w:bCs w:val="false"/>
          <w:color w:val="4B5870"/>
          <w:sz w:val="18"/>
          <w:szCs w:val="18"/>
        </w:rPr>
        <w:t xml:space="preserve">3.4  SpecBlock and BlockLine</w:t>
      </w:r>
    </w:p>
    <w:p>
      <w:pPr>
        <w:spacing w:after="30" w:before="30"/>
        <w:ind w:left="340"/>
      </w:pPr>
      <w:r>
        <w:rPr>
          <w:rFonts w:ascii="Calibri" w:cs="Calibri" w:eastAsia="Calibri" w:hAnsi="Calibri"/>
          <w:b w:val="false"/>
          <w:bCs w:val="false"/>
          <w:color w:val="4B5870"/>
          <w:sz w:val="18"/>
          <w:szCs w:val="18"/>
        </w:rPr>
        <w:t xml:space="preserve">3.5  MetadataField</w:t>
      </w:r>
    </w:p>
    <w:p>
      <w:pPr>
        <w:spacing w:after="30" w:before="30"/>
        <w:ind w:left="340"/>
      </w:pPr>
      <w:r>
        <w:rPr>
          <w:rFonts w:ascii="Calibri" w:cs="Calibri" w:eastAsia="Calibri" w:hAnsi="Calibri"/>
          <w:b w:val="false"/>
          <w:bCs w:val="false"/>
          <w:color w:val="4B5870"/>
          <w:sz w:val="18"/>
          <w:szCs w:val="18"/>
        </w:rPr>
        <w:t xml:space="preserve">3.6  Asset</w:t>
      </w:r>
    </w:p>
    <w:p>
      <w:pPr>
        <w:spacing w:after="30" w:before="30"/>
        <w:ind w:left="340"/>
      </w:pPr>
      <w:r>
        <w:rPr>
          <w:rFonts w:ascii="Calibri" w:cs="Calibri" w:eastAsia="Calibri" w:hAnsi="Calibri"/>
          <w:b w:val="false"/>
          <w:bCs w:val="false"/>
          <w:color w:val="4B5870"/>
          <w:sz w:val="18"/>
          <w:szCs w:val="18"/>
        </w:rPr>
        <w:t xml:space="preserve">3.7  Revision and FieldChange</w:t>
      </w:r>
    </w:p>
    <w:p>
      <w:pPr>
        <w:spacing w:after="30" w:before="30"/>
        <w:ind w:left="340"/>
      </w:pPr>
      <w:r>
        <w:rPr>
          <w:rFonts w:ascii="Calibri" w:cs="Calibri" w:eastAsia="Calibri" w:hAnsi="Calibri"/>
          <w:b w:val="false"/>
          <w:bCs w:val="false"/>
          <w:color w:val="4B5870"/>
          <w:sz w:val="18"/>
          <w:szCs w:val="18"/>
        </w:rPr>
        <w:t xml:space="preserve">3.8  User and Role</w:t>
      </w:r>
    </w:p>
    <w:p>
      <w:pPr>
        <w:spacing w:after="30" w:before="30"/>
        <w:ind w:left="340"/>
      </w:pPr>
      <w:r>
        <w:rPr>
          <w:rFonts w:ascii="Calibri" w:cs="Calibri" w:eastAsia="Calibri" w:hAnsi="Calibri"/>
          <w:b w:val="false"/>
          <w:bCs w:val="false"/>
          <w:color w:val="4B5870"/>
          <w:sz w:val="18"/>
          <w:szCs w:val="18"/>
        </w:rPr>
        <w:t xml:space="preserve">3.9  Collections</w:t>
      </w:r>
    </w:p>
    <w:p>
      <w:pPr>
        <w:spacing w:after="30" w:before="30"/>
        <w:ind w:left="340"/>
      </w:pPr>
      <w:r>
        <w:rPr>
          <w:rFonts w:ascii="Calibri" w:cs="Calibri" w:eastAsia="Calibri" w:hAnsi="Calibri"/>
          <w:b w:val="false"/>
          <w:bCs w:val="false"/>
          <w:color w:val="4B5870"/>
          <w:sz w:val="18"/>
          <w:szCs w:val="18"/>
        </w:rPr>
        <w:t xml:space="preserve">3.10  Search and filter</w:t>
      </w:r>
    </w:p>
    <w:p>
      <w:pPr>
        <w:spacing w:after="30" w:before="150"/>
        <w:ind w:left="0"/>
      </w:pPr>
      <w:r>
        <w:rPr>
          <w:rFonts w:ascii="Calibri" w:cs="Calibri" w:eastAsia="Calibri" w:hAnsi="Calibri"/>
          <w:b/>
          <w:bCs/>
          <w:color w:val="1B3769"/>
          <w:sz w:val="21"/>
          <w:szCs w:val="21"/>
        </w:rPr>
        <w:t xml:space="preserve">4.  Invariants</w:t>
      </w:r>
    </w:p>
    <w:p>
      <w:pPr>
        <w:spacing w:after="30" w:before="150"/>
        <w:ind w:left="0"/>
      </w:pPr>
      <w:r>
        <w:rPr>
          <w:rFonts w:ascii="Calibri" w:cs="Calibri" w:eastAsia="Calibri" w:hAnsi="Calibri"/>
          <w:b/>
          <w:bCs/>
          <w:color w:val="1B3769"/>
          <w:sz w:val="21"/>
          <w:szCs w:val="21"/>
        </w:rPr>
        <w:t xml:space="preserve">5.  The empty catalogue</w:t>
      </w:r>
    </w:p>
    <w:p>
      <w:pPr>
        <w:spacing w:after="30" w:before="150"/>
        <w:ind w:left="0"/>
      </w:pPr>
      <w:r>
        <w:rPr>
          <w:rFonts w:ascii="Calibri" w:cs="Calibri" w:eastAsia="Calibri" w:hAnsi="Calibri"/>
          <w:b/>
          <w:bCs/>
          <w:color w:val="1B3769"/>
          <w:sz w:val="21"/>
          <w:szCs w:val="21"/>
        </w:rPr>
        <w:t xml:space="preserve">6.  Extensibility</w:t>
      </w:r>
    </w:p>
    <w:p>
      <w:pPr>
        <w:spacing w:after="30" w:before="150"/>
        <w:ind w:left="0"/>
      </w:pPr>
      <w:r>
        <w:rPr>
          <w:rFonts w:ascii="Calibri" w:cs="Calibri" w:eastAsia="Calibri" w:hAnsi="Calibri"/>
          <w:b/>
          <w:bCs/>
          <w:color w:val="1B3769"/>
          <w:sz w:val="21"/>
          <w:szCs w:val="21"/>
        </w:rPr>
        <w:t xml:space="preserve">7.  Delivered files</w:t>
      </w:r>
    </w:p>
    <w:p>
      <w:pPr>
        <w:spacing w:after="30" w:before="150"/>
        <w:ind w:left="0"/>
      </w:pPr>
      <w:r>
        <w:rPr>
          <w:rFonts w:ascii="Calibri" w:cs="Calibri" w:eastAsia="Calibri" w:hAnsi="Calibri"/>
          <w:b/>
          <w:bCs/>
          <w:color w:val="1B3769"/>
          <w:sz w:val="21"/>
          <w:szCs w:val="21"/>
        </w:rPr>
        <w:t xml:space="preserve">8.  Phase 5 scope &amp; approval</w:t>
      </w:r>
    </w:p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B3769"/>
          <w:sz w:val="32"/>
          <w:szCs w:val="32"/>
        </w:rPr>
        <w:t xml:space="preserve">1. Modelling principles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Five decisions shape the whole model. Each one is a direct response to something in the reference system.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3769"/>
          <w:sz w:val="24"/>
          <w:szCs w:val="24"/>
        </w:rPr>
        <w:t xml:space="preserve">1.1 Normalised, not nested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Entities are stored by id and referenced by id. The reference system holds its entire dataset as one nested JavaScript object literal, which means a specification cannot be edited without rewriting its category, and the whole catalogue must be parsed to render one record. Here, a specification carries a categoryId, not a category.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3769"/>
          <w:sz w:val="24"/>
          <w:szCs w:val="24"/>
        </w:rPr>
        <w:t xml:space="preserve">1.2 Identity is typed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CategoryId and SpecificationId are both strings at runtime, but assigning one where the other is expected is a compile error. This costs nothing at runtime and removes an entire class of bug that reference-by-string invites.</w:t>
      </w:r>
    </w:p>
    <w:p>
      <w:pPr>
        <w:spacing w:after="100" w:before="6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Identifiers are minted in one function. The reference system uses Date.now(), which collides under concurrent authoring and leaks creation time into every URL.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3769"/>
          <w:sz w:val="24"/>
          <w:szCs w:val="24"/>
        </w:rPr>
        <w:t xml:space="preserve">1.3 Structure is explicit, conventions are preserved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The reference system stores specification content as arrays of strings, parsed one item per line, with a leading double asterisk marking a sub-heading. That convention works and your authors know it — so it is kept, but modelled explicitly as BlockLine records rather than left implicit in a parser. The structure now survives round-tripping.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3769"/>
          <w:sz w:val="24"/>
          <w:szCs w:val="24"/>
        </w:rPr>
        <w:t xml:space="preserve">1.4 Rules live in the model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A lifecycle drawn in a design document is decoration. STATUS_TRANSITIONS is a map, canTransition() is a function, and validateTransition() rejects anything not permitted before it can be persisted. Referential integrity works the same way — a sub-group that belongs to a different category than its specification is a validation error, not a rendering bug discovered later.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3769"/>
          <w:sz w:val="24"/>
          <w:szCs w:val="24"/>
        </w:rPr>
        <w:t xml:space="preserve">1.5 Nothing is populated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Every factory returns empty strings, empty arrays, nulls and zeros. A newly created specification carries exactly two non-empty values: its identifier, and the draft status the lifecycle has to start from. This is asserted by an automated check rather than promised in prose, because a single careless default would quietly break it.</w:t>
      </w:r>
    </w:p>
    <w:p>
      <w:pPr>
        <w:spacing w:after="160"/>
      </w:pPr>
    </w:p>
    <w:tbl>
      <w:tblPr>
        <w:tblW w:type="dxa" w:w="22374"/>
        <w:tblBorders>
          <w:top w:val="single" w:color="D8DEEC" w:sz="4"/>
          <w:left w:val="single" w:color="2861FD" w:sz="18"/>
          <w:bottom w:val="single" w:color="D8DEEC" w:sz="4"/>
          <w:right w:val="single" w:color="D8DEEC" w:sz="4"/>
          <w:insideH w:val="none"/>
          <w:insideV w:val="none"/>
        </w:tblBorders>
      </w:tblPr>
      <w:tblGrid>
        <w:gridCol w:w="22374"/>
      </w:tblGrid>
      <w:tr>
        <w:tc>
          <w:tcPr>
            <w:tcW w:type="dxa" w:w="22374"/>
            <w:shd w:fill="F5F7FC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aps/>
                <w:color w:val="2861FD"/>
                <w:spacing w:val="30"/>
                <w:sz w:val="15"/>
                <w:szCs w:val="15"/>
              </w:rPr>
              <w:t xml:space="preserve">What ships alongside this document</w:t>
            </w:r>
          </w:p>
          <w:p>
            <w:pPr>
              <w:spacing w:after="50" w:line="262"/>
            </w:pPr>
            <w:r>
              <w:rPr>
                <w:rFonts w:ascii="Calibri" w:cs="Calibri" w:eastAsia="Calibri" w:hAnsi="Calibri"/>
                <w:color w:val="0D1E3F"/>
                <w:sz w:val="18"/>
                <w:szCs w:val="18"/>
              </w:rPr>
              <w:t xml:space="preserve">data-model/ is a real TypeScript package. It compiles under strict mode with exactOptionalPropertyTypes and noUncheckedIndexedAccess, and it has no runtime dependencies.</w:t>
            </w:r>
          </w:p>
          <w:p>
            <w:pPr>
              <w:spacing w:after="50" w:line="262"/>
            </w:pPr>
            <w:r>
              <w:rPr>
                <w:rFonts w:ascii="Calibri" w:cs="Calibri" w:eastAsia="Calibri" w:hAnsi="Calibri"/>
                <w:color w:val="0D1E3F"/>
                <w:sz w:val="18"/>
                <w:szCs w:val="18"/>
              </w:rPr>
              <w:t xml:space="preserve">npm run check runs the type-checker and 23 assertions covering emptiness, referential integrity and the lifecycle. All pass.</w:t>
            </w:r>
          </w:p>
          <w:p>
            <w:pPr>
              <w:spacing w:after="50" w:line="262"/>
            </w:pPr>
            <w:r>
              <w:rPr>
                <w:rFonts w:ascii="Calibri" w:cs="Calibri" w:eastAsia="Calibri" w:hAnsi="Calibri"/>
                <w:color w:val="0D1E3F"/>
                <w:sz w:val="18"/>
                <w:szCs w:val="18"/>
              </w:rPr>
              <w:t xml:space="preserve">Phase 5 imports it directly. There is no translation step between this document and the build.</w:t>
            </w:r>
          </w:p>
        </w:tc>
      </w:tr>
    </w:tbl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B3769"/>
          <w:sz w:val="32"/>
          <w:szCs w:val="32"/>
        </w:rPr>
        <w:t xml:space="preserve">2. The model at a glance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Four views: how the entities relate, how a specification moves through its lifecycle, what an empty record actually contains, and how history is recorded.</w:t>
      </w:r>
    </w:p>
    <w:p>
      <w:pPr>
        <w:pStyle w:val="Heading2"/>
        <w:pageBreakBefore/>
        <w:spacing w:after="90"/>
      </w:pPr>
      <w:r>
        <w:rPr>
          <w:rFonts w:ascii="Calibri" w:cs="Calibri" w:eastAsia="Calibri" w:hAnsi="Calibri"/>
          <w:b/>
          <w:bCs/>
          <w:color w:val="2861FD"/>
          <w:sz w:val="22"/>
          <w:szCs w:val="22"/>
        </w:rPr>
        <w:t xml:space="preserve">M1   </w:t>
      </w:r>
      <w:r>
        <w:rPr>
          <w:rFonts w:ascii="Calibri" w:cs="Calibri" w:eastAsia="Calibri" w:hAnsi="Calibri"/>
          <w:b/>
          <w:bCs/>
          <w:color w:val="1B3769"/>
          <w:sz w:val="30"/>
          <w:szCs w:val="30"/>
        </w:rPr>
        <w:t xml:space="preserve">Entity relationship map</w:t>
      </w:r>
    </w:p>
    <w:p>
      <w:pPr>
        <w:spacing w:after="130"/>
        <w:jc w:val="center"/>
      </w:pPr>
      <w:r>
        <w:drawing>
          <wp:inline distT="0" distB="0" distL="0" distR="0">
            <wp:extent cx="9801225" cy="790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1225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22374"/>
        <w:tblBorders>
          <w:top w:val="single" w:color="D8DEEC" w:sz="4"/>
          <w:left w:val="none"/>
          <w:bottom w:val="none"/>
          <w:right w:val="none"/>
          <w:insideH w:val="none"/>
          <w:insideV w:val="none"/>
        </w:tblBorders>
      </w:tblPr>
      <w:tblGrid>
        <w:gridCol w:w="11127"/>
        <w:gridCol w:w="120"/>
        <w:gridCol w:w="11127"/>
      </w:tblGrid>
      <w:tr>
        <w:tc>
          <w:tcPr>
            <w:tcW w:type="dxa" w:w="11127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 w:line="244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2861FD"/>
                <w:sz w:val="15"/>
                <w:szCs w:val="15"/>
              </w:rPr>
              <w:t xml:space="preserve">1  </w:t>
            </w: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Category to Specification is one-to-many and exclusive — a specification belongs to exactly one category, as confirmed.</w:t>
            </w:r>
          </w:p>
          <w:p>
            <w:pPr>
              <w:spacing w:after="60" w:line="244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2861FD"/>
                <w:sz w:val="15"/>
                <w:szCs w:val="15"/>
              </w:rPr>
              <w:t xml:space="preserve">2  </w:t>
            </w: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SubGroup is the nullable middle tier. A category may expose specifications directly, which is how the reference system behaves and what the navigation component already handles.</w:t>
            </w:r>
          </w:p>
          <w:p>
            <w:pPr>
              <w:spacing w:after="60" w:line="244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2861FD"/>
                <w:sz w:val="15"/>
                <w:szCs w:val="15"/>
              </w:rPr>
              <w:t xml:space="preserve">3  </w:t>
            </w: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Tag is many-to-many and carries no hierarchy. It is the only axis that crosses categories.</w:t>
            </w:r>
          </w:p>
        </w:tc>
        <w:tc>
          <w:tcPr>
            <w:tcW w:type="dxa" w:w="120"/>
            <w:tcMar>
              <w:top w:type="dxa" w:w="100"/>
              <w:left w:type="dxa" w:w="110"/>
              <w:bottom w:type="dxa" w:w="100"/>
              <w:right w:type="dxa" w:w="110"/>
            </w:tcMar>
          </w:tcPr>
          <w:p/>
        </w:tc>
        <w:tc>
          <w:tcPr>
            <w:tcW w:type="dxa" w:w="11127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 w:line="244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2861FD"/>
                <w:sz w:val="15"/>
                <w:szCs w:val="15"/>
              </w:rPr>
              <w:t xml:space="preserve">4  </w:t>
            </w: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supersededById is a self-reference, required when status is superseded and rejected when it points at the record itself.</w:t>
            </w:r>
          </w:p>
          <w:p>
            <w:pPr>
              <w:spacing w:after="60" w:line="244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2861FD"/>
                <w:sz w:val="15"/>
                <w:szCs w:val="15"/>
              </w:rPr>
              <w:t xml:space="preserve">5  </w:t>
            </w: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SpecBlock and MetadataField are owned by the specification, not shared. Everything else is referenced by id.</w:t>
            </w:r>
          </w:p>
          <w:p>
            <w:pPr>
              <w:spacing w:after="60" w:line="244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2861FD"/>
                <w:sz w:val="15"/>
                <w:szCs w:val="15"/>
              </w:rPr>
              <w:t xml:space="preserve">6  </w:t>
            </w: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Asset carries a role rather than a type hierarchy, so the same file model serves the media pane, the downloads bar and the attachments section.</w:t>
            </w:r>
          </w:p>
        </w:tc>
      </w:tr>
    </w:tbl>
    <w:p>
      <w:pPr>
        <w:pStyle w:val="Heading2"/>
        <w:pageBreakBefore/>
        <w:spacing w:after="90"/>
      </w:pPr>
      <w:r>
        <w:rPr>
          <w:rFonts w:ascii="Calibri" w:cs="Calibri" w:eastAsia="Calibri" w:hAnsi="Calibri"/>
          <w:b/>
          <w:bCs/>
          <w:color w:val="2861FD"/>
          <w:sz w:val="22"/>
          <w:szCs w:val="22"/>
        </w:rPr>
        <w:t xml:space="preserve">M2   </w:t>
      </w:r>
      <w:r>
        <w:rPr>
          <w:rFonts w:ascii="Calibri" w:cs="Calibri" w:eastAsia="Calibri" w:hAnsi="Calibri"/>
          <w:b/>
          <w:bCs/>
          <w:color w:val="1B3769"/>
          <w:sz w:val="30"/>
          <w:szCs w:val="30"/>
        </w:rPr>
        <w:t xml:space="preserve">Specification lifecycle</w:t>
      </w:r>
    </w:p>
    <w:p>
      <w:pPr>
        <w:spacing w:after="130"/>
        <w:jc w:val="center"/>
      </w:pPr>
      <w:r>
        <w:drawing>
          <wp:inline distT="0" distB="0" distL="0" distR="0">
            <wp:extent cx="14211300" cy="733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22374"/>
        <w:tblBorders>
          <w:top w:val="single" w:color="D8DEEC" w:sz="4"/>
          <w:left w:val="none"/>
          <w:bottom w:val="none"/>
          <w:right w:val="none"/>
          <w:insideH w:val="none"/>
          <w:insideV w:val="none"/>
        </w:tblBorders>
      </w:tblPr>
      <w:tblGrid>
        <w:gridCol w:w="11127"/>
        <w:gridCol w:w="120"/>
        <w:gridCol w:w="11127"/>
      </w:tblGrid>
      <w:tr>
        <w:tc>
          <w:tcPr>
            <w:tcW w:type="dxa" w:w="11127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 w:line="244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2861FD"/>
                <w:sz w:val="15"/>
                <w:szCs w:val="15"/>
              </w:rPr>
              <w:t xml:space="preserve">1  </w:t>
            </w: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Five states, the confirmed vocabulary. Every new specification starts in Draft.</w:t>
            </w:r>
          </w:p>
          <w:p>
            <w:pPr>
              <w:spacing w:after="60" w:line="244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2861FD"/>
                <w:sz w:val="15"/>
                <w:szCs w:val="15"/>
              </w:rPr>
              <w:t xml:space="preserve">2  </w:t>
            </w: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Draft can publish directly, skipping review, so a single author is not forced through an approval step that has no second party.</w:t>
            </w:r>
          </w:p>
          <w:p>
            <w:pPr>
              <w:spacing w:after="60" w:line="244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2861FD"/>
                <w:sz w:val="15"/>
                <w:szCs w:val="15"/>
              </w:rPr>
              <w:t xml:space="preserve">3  </w:t>
            </w: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Only Published can move to Deprecated or Superseded, which prevents a draft from being retired before it ever existed publicly.</w:t>
            </w:r>
          </w:p>
        </w:tc>
        <w:tc>
          <w:tcPr>
            <w:tcW w:type="dxa" w:w="120"/>
            <w:tcMar>
              <w:top w:type="dxa" w:w="100"/>
              <w:left w:type="dxa" w:w="110"/>
              <w:bottom w:type="dxa" w:w="100"/>
              <w:right w:type="dxa" w:w="110"/>
            </w:tcMar>
          </w:tcPr>
          <w:p/>
        </w:tc>
        <w:tc>
          <w:tcPr>
            <w:tcW w:type="dxa" w:w="11127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 w:line="244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2861FD"/>
                <w:sz w:val="15"/>
                <w:szCs w:val="15"/>
              </w:rPr>
              <w:t xml:space="preserve">4  </w:t>
            </w: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Superseded requires supersededById and is the only terminal state. Deprecated is reversible.</w:t>
            </w:r>
          </w:p>
          <w:p>
            <w:pPr>
              <w:spacing w:after="60" w:line="244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2861FD"/>
                <w:sz w:val="15"/>
                <w:szCs w:val="15"/>
              </w:rPr>
              <w:t xml:space="preserve">5  </w:t>
            </w: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publiclyVisible is a property of the state, so an unauthenticated reader never sees a Draft or In-review record without a separate permission check.</w:t>
            </w:r>
          </w:p>
        </w:tc>
      </w:tr>
    </w:tbl>
    <w:p>
      <w:pPr>
        <w:pStyle w:val="Heading2"/>
        <w:pageBreakBefore/>
        <w:spacing w:after="90"/>
      </w:pPr>
      <w:r>
        <w:rPr>
          <w:rFonts w:ascii="Calibri" w:cs="Calibri" w:eastAsia="Calibri" w:hAnsi="Calibri"/>
          <w:b/>
          <w:bCs/>
          <w:color w:val="2861FD"/>
          <w:sz w:val="22"/>
          <w:szCs w:val="22"/>
        </w:rPr>
        <w:t xml:space="preserve">M3   </w:t>
      </w:r>
      <w:r>
        <w:rPr>
          <w:rFonts w:ascii="Calibri" w:cs="Calibri" w:eastAsia="Calibri" w:hAnsi="Calibri"/>
          <w:b/>
          <w:bCs/>
          <w:color w:val="1B3769"/>
          <w:sz w:val="30"/>
          <w:szCs w:val="30"/>
        </w:rPr>
        <w:t xml:space="preserve">The empty record</w:t>
      </w:r>
    </w:p>
    <w:p>
      <w:pPr>
        <w:spacing w:after="130"/>
        <w:jc w:val="center"/>
      </w:pPr>
      <w:r>
        <w:drawing>
          <wp:inline distT="0" distB="0" distL="0" distR="0">
            <wp:extent cx="11953875" cy="790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3875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22374"/>
        <w:tblBorders>
          <w:top w:val="single" w:color="D8DEEC" w:sz="4"/>
          <w:left w:val="none"/>
          <w:bottom w:val="none"/>
          <w:right w:val="none"/>
          <w:insideH w:val="none"/>
          <w:insideV w:val="none"/>
        </w:tblBorders>
      </w:tblPr>
      <w:tblGrid>
        <w:gridCol w:w="11127"/>
        <w:gridCol w:w="120"/>
        <w:gridCol w:w="11127"/>
      </w:tblGrid>
      <w:tr>
        <w:tc>
          <w:tcPr>
            <w:tcW w:type="dxa" w:w="11127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 w:line="244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2861FD"/>
                <w:sz w:val="15"/>
                <w:szCs w:val="15"/>
              </w:rPr>
              <w:t xml:space="preserve">1  </w:t>
            </w: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 newly created specification carries exactly two non-empty values: its identifier, and the draft status the lifecycle has to start from.</w:t>
            </w:r>
          </w:p>
          <w:p>
            <w:pPr>
              <w:spacing w:after="60" w:line="244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2861FD"/>
                <w:sz w:val="15"/>
                <w:szCs w:val="15"/>
              </w:rPr>
              <w:t xml:space="preserve">2  </w:t>
            </w: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Nulls and empty strings are used deliberately rather than interchangeably. Null means 'no value exists'; an empty string means 'a value exists and is blank'.</w:t>
            </w:r>
          </w:p>
          <w:p>
            <w:pPr>
              <w:spacing w:after="60" w:line="244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2861FD"/>
                <w:sz w:val="15"/>
                <w:szCs w:val="15"/>
              </w:rPr>
              <w:t xml:space="preserve">3  </w:t>
            </w: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Optional references are null, never undefined, so a record round-trips through JSON without changing shape.</w:t>
            </w:r>
          </w:p>
        </w:tc>
        <w:tc>
          <w:tcPr>
            <w:tcW w:type="dxa" w:w="120"/>
            <w:tcMar>
              <w:top w:type="dxa" w:w="100"/>
              <w:left w:type="dxa" w:w="110"/>
              <w:bottom w:type="dxa" w:w="100"/>
              <w:right w:type="dxa" w:w="110"/>
            </w:tcMar>
          </w:tcPr>
          <w:p/>
        </w:tc>
        <w:tc>
          <w:tcPr>
            <w:tcW w:type="dxa" w:w="11127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 w:line="244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2861FD"/>
                <w:sz w:val="15"/>
                <w:szCs w:val="15"/>
              </w:rPr>
              <w:t xml:space="preserve">4  </w:t>
            </w: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The shipping catalogue holds no categories, no specifications, no tags, no assets, no revisions and no users.</w:t>
            </w:r>
          </w:p>
          <w:p>
            <w:pPr>
              <w:spacing w:after="60" w:line="244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2861FD"/>
                <w:sz w:val="15"/>
                <w:szCs w:val="15"/>
              </w:rPr>
              <w:t xml:space="preserve">5  </w:t>
            </w: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verify.ts asserts all of this on every run, because 'every field ships empty' is easy to claim and easy to break with one careless default.</w:t>
            </w:r>
          </w:p>
        </w:tc>
      </w:tr>
    </w:tbl>
    <w:p>
      <w:pPr>
        <w:pStyle w:val="Heading2"/>
        <w:pageBreakBefore/>
        <w:spacing w:after="90"/>
      </w:pPr>
      <w:r>
        <w:rPr>
          <w:rFonts w:ascii="Calibri" w:cs="Calibri" w:eastAsia="Calibri" w:hAnsi="Calibri"/>
          <w:b/>
          <w:bCs/>
          <w:color w:val="2861FD"/>
          <w:sz w:val="22"/>
          <w:szCs w:val="22"/>
        </w:rPr>
        <w:t xml:space="preserve">M4   </w:t>
      </w:r>
      <w:r>
        <w:rPr>
          <w:rFonts w:ascii="Calibri" w:cs="Calibri" w:eastAsia="Calibri" w:hAnsi="Calibri"/>
          <w:b/>
          <w:bCs/>
          <w:color w:val="1B3769"/>
          <w:sz w:val="30"/>
          <w:szCs w:val="30"/>
        </w:rPr>
        <w:t xml:space="preserve">Revision history and diffs</w:t>
      </w:r>
    </w:p>
    <w:p>
      <w:pPr>
        <w:spacing w:after="130"/>
        <w:jc w:val="center"/>
      </w:pPr>
      <w:r>
        <w:drawing>
          <wp:inline distT="0" distB="0" distL="0" distR="0">
            <wp:extent cx="14001750" cy="790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22374"/>
        <w:tblBorders>
          <w:top w:val="single" w:color="D8DEEC" w:sz="4"/>
          <w:left w:val="none"/>
          <w:bottom w:val="none"/>
          <w:right w:val="none"/>
          <w:insideH w:val="none"/>
          <w:insideV w:val="none"/>
        </w:tblBorders>
      </w:tblPr>
      <w:tblGrid>
        <w:gridCol w:w="11127"/>
        <w:gridCol w:w="120"/>
        <w:gridCol w:w="11127"/>
      </w:tblGrid>
      <w:tr>
        <w:tc>
          <w:tcPr>
            <w:tcW w:type="dxa" w:w="11127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 w:line="244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2861FD"/>
                <w:sz w:val="15"/>
                <w:szCs w:val="15"/>
              </w:rPr>
              <w:t xml:space="preserve">1  </w:t>
            </w: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Every save writes a Revision. There is no separate 'record a change' action, because one that exists will not be used.</w:t>
            </w:r>
          </w:p>
          <w:p>
            <w:pPr>
              <w:spacing w:after="60" w:line="244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2861FD"/>
                <w:sz w:val="15"/>
                <w:szCs w:val="15"/>
              </w:rPr>
              <w:t xml:space="preserve">2  </w:t>
            </w: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FieldChange carries a dotted path, a human label for the diff view, a kind, and serialised before and after values.</w:t>
            </w:r>
          </w:p>
          <w:p>
            <w:pPr>
              <w:spacing w:after="60" w:line="244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2861FD"/>
                <w:sz w:val="15"/>
                <w:szCs w:val="15"/>
              </w:rPr>
              <w:t xml:space="preserve">3  </w:t>
            </w: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Paths reach into nested content — blocks.0.lines.4.text — so a change to one line of technical specification is recorded precisely, not as 'blocks changed'.</w:t>
            </w:r>
          </w:p>
        </w:tc>
        <w:tc>
          <w:tcPr>
            <w:tcW w:type="dxa" w:w="120"/>
            <w:tcMar>
              <w:top w:type="dxa" w:w="100"/>
              <w:left w:type="dxa" w:w="110"/>
              <w:bottom w:type="dxa" w:w="100"/>
              <w:right w:type="dxa" w:w="110"/>
            </w:tcMar>
          </w:tcPr>
          <w:p/>
        </w:tc>
        <w:tc>
          <w:tcPr>
            <w:tcW w:type="dxa" w:w="11127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 w:line="244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2861FD"/>
                <w:sz w:val="15"/>
                <w:szCs w:val="15"/>
              </w:rPr>
              <w:t xml:space="preserve">4  </w:t>
            </w: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 full snapshot accompanies the diffs so restore does not depend on replaying history backwards.</w:t>
            </w:r>
          </w:p>
          <w:p>
            <w:pPr>
              <w:spacing w:after="60" w:line="244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2861FD"/>
                <w:sz w:val="15"/>
                <w:szCs w:val="15"/>
              </w:rPr>
              <w:t xml:space="preserve">5  </w:t>
            </w: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Published version and revision count are different numbers and are never conflated. Exports carry the published version.</w:t>
            </w:r>
          </w:p>
        </w:tc>
      </w:tr>
    </w:tbl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B3769"/>
          <w:sz w:val="32"/>
          <w:szCs w:val="32"/>
        </w:rPr>
        <w:t xml:space="preserve">3. Entities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Thirteen entities. Field tables below are the authoritative reference; the TypeScript files are generated from the same decisions, not the other way round.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3769"/>
          <w:sz w:val="24"/>
          <w:szCs w:val="24"/>
        </w:rPr>
        <w:t xml:space="preserve">3.1 Specification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The leaf record. Everything else exists to organise, describe or version one of these. Twelve sections, matching the Phase 1 information architecture and the Phase 2 wireframes.</w:t>
      </w:r>
    </w:p>
    <w:p>
      <w:pPr>
        <w:spacing w:after="120"/>
      </w:pPr>
    </w:p>
    <w:tbl>
      <w:tblPr>
        <w:tblW w:type="dxa" w:w="16400"/>
        <w:tblBorders>
          <w:top w:val="single" w:color="D8DEEC" w:sz="4"/>
          <w:left w:val="single" w:color="D8DEEC" w:sz="4"/>
          <w:bottom w:val="single" w:color="D8DEEC" w:sz="4"/>
          <w:right w:val="single" w:color="D8DEEC" w:sz="4"/>
          <w:insideH w:val="single" w:color="D8DEEC" w:sz="4"/>
          <w:insideV w:val="single" w:color="D8DEEC" w:sz="4"/>
        </w:tblBorders>
      </w:tblPr>
      <w:tblGrid>
        <w:gridCol w:w="2900"/>
        <w:gridCol w:w="3000"/>
        <w:gridCol w:w="1800"/>
        <w:gridCol w:w="8700"/>
      </w:tblGrid>
      <w:tr>
        <w:trPr>
          <w:cantSplit/>
          <w:tblHeader/>
        </w:trPr>
        <w:tc>
          <w:tcPr>
            <w:tcW w:type="dxa" w:w="29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Field</w:t>
            </w:r>
          </w:p>
        </w:tc>
        <w:tc>
          <w:tcPr>
            <w:tcW w:type="dxa" w:w="30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Type</w:t>
            </w:r>
          </w:p>
        </w:tc>
        <w:tc>
          <w:tcPr>
            <w:tcW w:type="dxa" w:w="18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Empty value</w:t>
            </w:r>
          </w:p>
        </w:tc>
        <w:tc>
          <w:tcPr>
            <w:tcW w:type="dxa" w:w="87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id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SpecificationId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minted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Branded. Sortable, collision-resistant.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title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""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Required before save. The only required text field.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slug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Slug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""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Derived from title. Uniqueness enforced across the catalogue.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code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""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2861FD"/>
                <w:sz w:val="15"/>
                <w:szCs w:val="15"/>
              </w:rPr>
              <w:t xml:space="preserve">Free text, optional, no enforced format — confirmed. Uniqueness is advisory, so an existing external scheme can be entered as-is.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""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Plain text. Renders under the title and feeds the search index.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categoryId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CategoryId | null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null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2861FD"/>
                <w:sz w:val="15"/>
                <w:szCs w:val="15"/>
              </w:rPr>
              <w:t xml:space="preserve">Exclusive — exactly one category. Required before save.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subGroupId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SubGroupId | null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null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The nullable middle tier. Must belong to the same category.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tagIds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TagId[]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[]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Many-to-many. The only axis that crosses categories.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status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SpecStatus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'draft'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One of five. Transitions enforced.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supersededById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SpecificationId | null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null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Required when status is 'superseded'. Self-reference rejected.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version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number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0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Published version. Increments only on a publish event.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publishedAt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 | null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null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First publish timestamp.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blocks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SpecBlock[]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[]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Technical specifications, requirements, notes — labels are authored.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metadata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MetadataField[]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[]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2861FD"/>
                <w:sz w:val="15"/>
                <w:szCs w:val="15"/>
              </w:rPr>
              <w:t xml:space="preserve">Dynamic key/value pairs — confirmed structure.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mediaIds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AssetId[]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[]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The image pane and its thumbnail strip.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downloadIds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AssetId[]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[]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The pinned downloads bar. Die lines, artwork templates.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attachmentIds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AssetId[]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[]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The attachments section. Any file type.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relatedIds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SpecificationId[]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[]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Explicit cross-references. Self-reference rejected.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revisionIds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RevisionId[]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[]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Every save, published or not.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currentRevisionId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RevisionId | null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null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Points at the most recent revision.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searchText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""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Derived on save. Never authored.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createdAt / By, updatedAt / By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Timestamp | UserId | null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null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Audit trail.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archivedAt / By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Timestamp | UserId | null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null</w:t>
            </w:r>
          </w:p>
        </w:tc>
        <w:tc>
          <w:tcPr>
            <w:tcW w:type="dxa" w:w="8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Soft deletion. Restorable from the Archive tab.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3769"/>
          <w:sz w:val="24"/>
          <w:szCs w:val="24"/>
        </w:rPr>
        <w:t xml:space="preserve">3.2 Category and SubGroup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The navigable spine. Category is exclusive and ordered; SubGroup is the optional middle tier the reference system already handles with the same navigation primitive.</w:t>
      </w:r>
    </w:p>
    <w:p>
      <w:pPr>
        <w:spacing w:after="120"/>
      </w:pPr>
    </w:p>
    <w:tbl>
      <w:tblPr>
        <w:tblW w:type="dxa" w:w="16400"/>
        <w:tblBorders>
          <w:top w:val="single" w:color="D8DEEC" w:sz="4"/>
          <w:left w:val="single" w:color="D8DEEC" w:sz="4"/>
          <w:bottom w:val="single" w:color="D8DEEC" w:sz="4"/>
          <w:right w:val="single" w:color="D8DEEC" w:sz="4"/>
          <w:insideH w:val="single" w:color="D8DEEC" w:sz="4"/>
          <w:insideV w:val="single" w:color="D8DEEC" w:sz="4"/>
        </w:tblBorders>
      </w:tblPr>
      <w:tblGrid>
        <w:gridCol w:w="1800"/>
        <w:gridCol w:w="3400"/>
        <w:gridCol w:w="2800"/>
        <w:gridCol w:w="8400"/>
      </w:tblGrid>
      <w:tr>
        <w:trPr>
          <w:cantSplit/>
          <w:tblHeader/>
        </w:trPr>
        <w:tc>
          <w:tcPr>
            <w:tcW w:type="dxa" w:w="18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Entity</w:t>
            </w:r>
          </w:p>
        </w:tc>
        <w:tc>
          <w:tcPr>
            <w:tcW w:type="dxa" w:w="34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Field</w:t>
            </w:r>
          </w:p>
        </w:tc>
        <w:tc>
          <w:tcPr>
            <w:tcW w:type="dxa" w:w="28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Type</w:t>
            </w:r>
          </w:p>
        </w:tc>
        <w:tc>
          <w:tcPr>
            <w:tcW w:type="dxa" w:w="84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Category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name / slug / description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</w:t>
            </w:r>
          </w:p>
        </w:tc>
        <w:tc>
          <w:tcPr>
            <w:tcW w:type="dxa" w:w="8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Slug derived from name.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order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SortOrder</w:t>
            </w:r>
          </w:p>
        </w:tc>
        <w:tc>
          <w:tcPr>
            <w:tcW w:type="dxa" w:w="8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Authored, not alphabetical. Specification catalogues have a conventional sequence.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mediaId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AssetId | null</w:t>
            </w:r>
          </w:p>
        </w:tc>
        <w:tc>
          <w:tcPr>
            <w:tcW w:type="dxa" w:w="8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Optional category header image.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subGroupIds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SubGroupId[]</w:t>
            </w:r>
          </w:p>
        </w:tc>
        <w:tc>
          <w:tcPr>
            <w:tcW w:type="dxa" w:w="8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In authored order. Empty means the category exposes specifications directly.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metadataTemplate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MetadataTemplate</w:t>
            </w:r>
          </w:p>
        </w:tc>
        <w:tc>
          <w:tcPr>
            <w:tcW w:type="dxa" w:w="8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2861FD"/>
                <w:sz w:val="15"/>
                <w:szCs w:val="15"/>
              </w:rPr>
              <w:t xml:space="preserve">Fields new specifications inherit — with empty values. This is how a domain convention propagates without a schema change.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blockTemplate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string[]</w:t>
            </w:r>
          </w:p>
        </w:tc>
        <w:tc>
          <w:tcPr>
            <w:tcW w:type="dxa" w:w="8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Block labels new specifications start with.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SubGroup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categoryId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CategoryId</w:t>
            </w:r>
          </w:p>
        </w:tc>
        <w:tc>
          <w:tcPr>
            <w:tcW w:type="dxa" w:w="8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Parent. Orphans are a validation error.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name / slug / description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</w:t>
            </w:r>
          </w:p>
        </w:tc>
        <w:tc>
          <w:tcPr>
            <w:tcW w:type="dxa" w:w="8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order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SortOrder</w:t>
            </w:r>
          </w:p>
        </w:tc>
        <w:tc>
          <w:tcPr>
            <w:tcW w:type="dxa" w:w="8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Drag-reorderable within its category.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3769"/>
          <w:sz w:val="24"/>
          <w:szCs w:val="24"/>
        </w:rPr>
        <w:t xml:space="preserve">3.3 Tag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The cross-cutting axis. Many-to-many, unordered, never navigable as a tree. Keeping tags visually and structurally distinct from categories is what stops the taxonomy collapsing as the catalogue grows.</w:t>
      </w:r>
    </w:p>
    <w:p>
      <w:pPr>
        <w:spacing w:after="120"/>
      </w:pPr>
    </w:p>
    <w:tbl>
      <w:tblPr>
        <w:tblW w:type="dxa" w:w="16400"/>
        <w:tblBorders>
          <w:top w:val="single" w:color="D8DEEC" w:sz="4"/>
          <w:left w:val="single" w:color="D8DEEC" w:sz="4"/>
          <w:bottom w:val="single" w:color="D8DEEC" w:sz="4"/>
          <w:right w:val="single" w:color="D8DEEC" w:sz="4"/>
          <w:insideH w:val="single" w:color="D8DEEC" w:sz="4"/>
          <w:insideV w:val="single" w:color="D8DEEC" w:sz="4"/>
        </w:tblBorders>
      </w:tblPr>
      <w:tblGrid>
        <w:gridCol w:w="3400"/>
        <w:gridCol w:w="2800"/>
        <w:gridCol w:w="10200"/>
      </w:tblGrid>
      <w:tr>
        <w:trPr>
          <w:cantSplit/>
          <w:tblHeader/>
        </w:trPr>
        <w:tc>
          <w:tcPr>
            <w:tcW w:type="dxa" w:w="34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Field</w:t>
            </w:r>
          </w:p>
        </w:tc>
        <w:tc>
          <w:tcPr>
            <w:tcW w:type="dxa" w:w="28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Type</w:t>
            </w:r>
          </w:p>
        </w:tc>
        <w:tc>
          <w:tcPr>
            <w:tcW w:type="dxa" w:w="102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name / slug / description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</w:t>
            </w:r>
          </w:p>
        </w:tc>
        <w:tc>
          <w:tcPr>
            <w:tcW w:type="dxa" w:w="10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tone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TagTone</w:t>
            </w:r>
          </w:p>
        </w:tc>
        <w:tc>
          <w:tcPr>
            <w:tcW w:type="dxa" w:w="10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Maps to the design-system semantic tokens, so tags can be colour-coded without new palette entries.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usageCount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number</w:t>
            </w:r>
          </w:p>
        </w:tc>
        <w:tc>
          <w:tcPr>
            <w:tcW w:type="dxa" w:w="10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Denormalised for facet counts. Recomputed, never authored.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3769"/>
          <w:sz w:val="24"/>
          <w:szCs w:val="24"/>
        </w:rPr>
        <w:t xml:space="preserve">3.4 SpecBlock and BlockLine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The reference system’s core content pattern, modelled explicitly. A block is a titled run of lines; a line is an item or a sub-heading, optionally carrying an inline reference callout.</w:t>
      </w:r>
    </w:p>
    <w:p>
      <w:pPr>
        <w:spacing w:after="120"/>
      </w:pPr>
    </w:p>
    <w:tbl>
      <w:tblPr>
        <w:tblW w:type="dxa" w:w="16400"/>
        <w:tblBorders>
          <w:top w:val="single" w:color="D8DEEC" w:sz="4"/>
          <w:left w:val="single" w:color="D8DEEC" w:sz="4"/>
          <w:bottom w:val="single" w:color="D8DEEC" w:sz="4"/>
          <w:right w:val="single" w:color="D8DEEC" w:sz="4"/>
          <w:insideH w:val="single" w:color="D8DEEC" w:sz="4"/>
          <w:insideV w:val="single" w:color="D8DEEC" w:sz="4"/>
        </w:tblBorders>
      </w:tblPr>
      <w:tblGrid>
        <w:gridCol w:w="1800"/>
        <w:gridCol w:w="2600"/>
        <w:gridCol w:w="3200"/>
        <w:gridCol w:w="8800"/>
      </w:tblGrid>
      <w:tr>
        <w:trPr>
          <w:cantSplit/>
          <w:tblHeader/>
        </w:trPr>
        <w:tc>
          <w:tcPr>
            <w:tcW w:type="dxa" w:w="18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Entity</w:t>
            </w:r>
          </w:p>
        </w:tc>
        <w:tc>
          <w:tcPr>
            <w:tcW w:type="dxa" w:w="26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Field</w:t>
            </w:r>
          </w:p>
        </w:tc>
        <w:tc>
          <w:tcPr>
            <w:tcW w:type="dxa" w:w="32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Type</w:t>
            </w:r>
          </w:p>
        </w:tc>
        <w:tc>
          <w:tcPr>
            <w:tcW w:type="dxa" w:w="88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SpecBlock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label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</w:t>
            </w:r>
          </w:p>
        </w:tc>
        <w:tc>
          <w:tcPr>
            <w:tcW w:type="dxa" w:w="8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Authored. "Technical specifications" is a convention, not schema.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lines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BlockLine[]</w:t>
            </w:r>
          </w:p>
        </w:tc>
        <w:tc>
          <w:tcPr>
            <w:tcW w:type="dxa" w:w="8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twoColumn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boolean</w:t>
            </w:r>
          </w:p>
        </w:tc>
        <w:tc>
          <w:tcPr>
            <w:tcW w:type="dxa" w:w="8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The reference system’s two-column toggle, retained.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order / anchorId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SortOrder / string</w:t>
            </w:r>
          </w:p>
        </w:tc>
        <w:tc>
          <w:tcPr>
            <w:tcW w:type="dxa" w:w="8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anchorId is the scroll-spy target for the anchor rail.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BlockLine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kind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'item' | 'subheading'</w:t>
            </w:r>
          </w:p>
        </w:tc>
        <w:tc>
          <w:tcPr>
            <w:tcW w:type="dxa" w:w="8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The reference system marks sub-headings with a leading **.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text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</w:t>
            </w:r>
          </w:p>
        </w:tc>
        <w:tc>
          <w:tcPr>
            <w:tcW w:type="dxa" w:w="8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reference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 | null</w:t>
            </w:r>
          </w:p>
        </w:tc>
        <w:tc>
          <w:tcPr>
            <w:tcW w:type="dxa" w:w="8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Inline callout rendered in the accent colour. Written as *[CODE] in the reference system.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3769"/>
          <w:sz w:val="24"/>
          <w:szCs w:val="24"/>
        </w:rPr>
        <w:t xml:space="preserve">3.5 MetadataField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Dynamic key/value pairs — the confirmed structure. Adding a field never requires a code change or a migration, which is the point of the reusable platform.</w:t>
      </w:r>
    </w:p>
    <w:p>
      <w:pPr>
        <w:spacing w:after="120"/>
      </w:pPr>
    </w:p>
    <w:tbl>
      <w:tblPr>
        <w:tblW w:type="dxa" w:w="16400"/>
        <w:tblBorders>
          <w:top w:val="single" w:color="D8DEEC" w:sz="4"/>
          <w:left w:val="single" w:color="D8DEEC" w:sz="4"/>
          <w:bottom w:val="single" w:color="D8DEEC" w:sz="4"/>
          <w:right w:val="single" w:color="D8DEEC" w:sz="4"/>
          <w:insideH w:val="single" w:color="D8DEEC" w:sz="4"/>
          <w:insideV w:val="single" w:color="D8DEEC" w:sz="4"/>
        </w:tblBorders>
      </w:tblPr>
      <w:tblGrid>
        <w:gridCol w:w="2600"/>
        <w:gridCol w:w="3000"/>
        <w:gridCol w:w="10800"/>
      </w:tblGrid>
      <w:tr>
        <w:trPr>
          <w:cantSplit/>
          <w:tblHeader/>
        </w:trPr>
        <w:tc>
          <w:tcPr>
            <w:tcW w:type="dxa" w:w="26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Field</w:t>
            </w:r>
          </w:p>
        </w:tc>
        <w:tc>
          <w:tcPr>
            <w:tcW w:type="dxa" w:w="30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Type</w:t>
            </w:r>
          </w:p>
        </w:tc>
        <w:tc>
          <w:tcPr>
            <w:tcW w:type="dxa" w:w="108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key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</w:t>
            </w:r>
          </w:p>
        </w:tc>
        <w:tc>
          <w:tcPr>
            <w:tcW w:type="dxa" w:w="10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Stable machine key. Survives a label rename, so renaming a field does not orphan its data.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label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</w:t>
            </w:r>
          </w:p>
        </w:tc>
        <w:tc>
          <w:tcPr>
            <w:tcW w:type="dxa" w:w="10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What the user sees.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type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MetadataValueType</w:t>
            </w:r>
          </w:p>
        </w:tc>
        <w:tc>
          <w:tcPr>
            <w:tcW w:type="dxa" w:w="10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text · number · date · boolean · dimension · url · user. Drives the input control and the sort comparator.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value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 | null</w:t>
            </w:r>
          </w:p>
        </w:tc>
        <w:tc>
          <w:tcPr>
            <w:tcW w:type="dxa" w:w="10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Null means empty. Every field ships null.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unit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 | null</w:t>
            </w:r>
          </w:p>
        </w:tc>
        <w:tc>
          <w:tcPr>
            <w:tcW w:type="dxa" w:w="10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For dimension and number types.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order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SortOrder</w:t>
            </w:r>
          </w:p>
        </w:tc>
        <w:tc>
          <w:tcPr>
            <w:tcW w:type="dxa" w:w="10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Position in the boxed definition grid.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inherited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boolean</w:t>
            </w:r>
          </w:p>
        </w:tc>
        <w:tc>
          <w:tcPr>
            <w:tcW w:type="dxa" w:w="10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True when the field came from the category template rather than being authored on the record.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indexed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boolean</w:t>
            </w:r>
          </w:p>
        </w:tc>
        <w:tc>
          <w:tcPr>
            <w:tcW w:type="dxa" w:w="10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Surfaced in list columns and search facets.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3769"/>
          <w:sz w:val="24"/>
          <w:szCs w:val="24"/>
        </w:rPr>
        <w:t xml:space="preserve">3.6 Asset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One file model with a role, rather than three parallel types. The reference system handles exactly two kinds — one JPEG per specification and a list of die-line PDFs committed through a browser-held repository token.</w:t>
      </w:r>
    </w:p>
    <w:p>
      <w:pPr>
        <w:spacing w:after="120"/>
      </w:pPr>
    </w:p>
    <w:tbl>
      <w:tblPr>
        <w:tblW w:type="dxa" w:w="16400"/>
        <w:tblBorders>
          <w:top w:val="single" w:color="D8DEEC" w:sz="4"/>
          <w:left w:val="single" w:color="D8DEEC" w:sz="4"/>
          <w:bottom w:val="single" w:color="D8DEEC" w:sz="4"/>
          <w:right w:val="single" w:color="D8DEEC" w:sz="4"/>
          <w:insideH w:val="single" w:color="D8DEEC" w:sz="4"/>
          <w:insideV w:val="single" w:color="D8DEEC" w:sz="4"/>
        </w:tblBorders>
      </w:tblPr>
      <w:tblGrid>
        <w:gridCol w:w="3000"/>
        <w:gridCol w:w="3600"/>
        <w:gridCol w:w="9800"/>
      </w:tblGrid>
      <w:tr>
        <w:trPr>
          <w:cantSplit/>
          <w:tblHeader/>
        </w:trPr>
        <w:tc>
          <w:tcPr>
            <w:tcW w:type="dxa" w:w="30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Field</w:t>
            </w:r>
          </w:p>
        </w:tc>
        <w:tc>
          <w:tcPr>
            <w:tcW w:type="dxa" w:w="36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Type</w:t>
            </w:r>
          </w:p>
        </w:tc>
        <w:tc>
          <w:tcPr>
            <w:tcW w:type="dxa" w:w="98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role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'media' | 'download' | 'attachment'</w:t>
            </w:r>
          </w:p>
        </w:tc>
        <w:tc>
          <w:tcPr>
            <w:tcW w:type="dxa" w:w="9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Determines where the asset surfaces, not what it is.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kind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AssetKind</w:t>
            </w:r>
          </w:p>
        </w:tc>
        <w:tc>
          <w:tcPr>
            <w:tcW w:type="dxa" w:w="9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image · video · document · cad · archive · other. Derived from MIME type.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filename / storageKey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</w:t>
            </w:r>
          </w:p>
        </w:tc>
        <w:tc>
          <w:tcPr>
            <w:tcW w:type="dxa" w:w="9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storageKey is opaque. The service layer resolves it to a URL.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mimeType / sizeBytes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 / number | null</w:t>
            </w:r>
          </w:p>
        </w:tc>
        <w:tc>
          <w:tcPr>
            <w:tcW w:type="dxa" w:w="9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alt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</w:t>
            </w:r>
          </w:p>
        </w:tc>
        <w:tc>
          <w:tcPr>
            <w:tcW w:type="dxa" w:w="9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Required for images and video. Used as the accessible name.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caption / order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 / SortOrder</w:t>
            </w:r>
          </w:p>
        </w:tc>
        <w:tc>
          <w:tcPr>
            <w:tcW w:type="dxa" w:w="9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image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ImageMeta | null</w:t>
            </w:r>
          </w:p>
        </w:tc>
        <w:tc>
          <w:tcPr>
            <w:tcW w:type="dxa" w:w="9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Width, height, blurred placeholder, and a focal point. The reference system hard-codes a 30% focal point on tablet.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version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 | null</w:t>
            </w:r>
          </w:p>
        </w:tc>
        <w:tc>
          <w:tcPr>
            <w:tcW w:type="dxa" w:w="9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Version label for downloads, so a superseded die line is identifiable.</w:t>
            </w:r>
          </w:p>
        </w:tc>
      </w:tr>
    </w:tbl>
    <w:p>
      <w:pPr>
        <w:spacing w:after="160"/>
      </w:pPr>
    </w:p>
    <w:tbl>
      <w:tblPr>
        <w:tblW w:type="dxa" w:w="22374"/>
        <w:tblBorders>
          <w:top w:val="single" w:color="D8DEEC" w:sz="4"/>
          <w:left w:val="single" w:color="2861FD" w:sz="18"/>
          <w:bottom w:val="single" w:color="D8DEEC" w:sz="4"/>
          <w:right w:val="single" w:color="D8DEEC" w:sz="4"/>
          <w:insideH w:val="none"/>
          <w:insideV w:val="none"/>
        </w:tblBorders>
      </w:tblPr>
      <w:tblGrid>
        <w:gridCol w:w="22374"/>
      </w:tblGrid>
      <w:tr>
        <w:tc>
          <w:tcPr>
            <w:tcW w:type="dxa" w:w="22374"/>
            <w:shd w:fill="F5F7FC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aps/>
                <w:color w:val="2861FD"/>
                <w:spacing w:val="30"/>
                <w:sz w:val="15"/>
                <w:szCs w:val="15"/>
              </w:rPr>
              <w:t xml:space="preserve">Storage is abstracted</w:t>
            </w:r>
          </w:p>
          <w:p>
            <w:pPr>
              <w:spacing w:after="50" w:line="262"/>
            </w:pPr>
            <w:r>
              <w:rPr>
                <w:rFonts w:ascii="Calibri" w:cs="Calibri" w:eastAsia="Calibri" w:hAnsi="Calibri"/>
                <w:color w:val="0D1E3F"/>
                <w:sz w:val="18"/>
                <w:szCs w:val="18"/>
              </w:rPr>
              <w:t xml:space="preserve">StorageAdapter is an interface with put, url and remove. Phase 5 ships a local adapter.</w:t>
            </w:r>
          </w:p>
          <w:p>
            <w:pPr>
              <w:spacing w:after="50" w:line="262"/>
            </w:pPr>
            <w:r>
              <w:rPr>
                <w:rFonts w:ascii="Calibri" w:cs="Calibri" w:eastAsia="Calibri" w:hAnsi="Calibri"/>
                <w:color w:val="0D1E3F"/>
                <w:sz w:val="18"/>
                <w:szCs w:val="18"/>
              </w:rPr>
              <w:t xml:space="preserve">The reference system’s repository-token strategy becomes one implementation of that interface rather than a property of the product. This is the security exposure flagged in Phase 1 §2.15, resolved structurally.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3769"/>
          <w:sz w:val="24"/>
          <w:szCs w:val="24"/>
        </w:rPr>
        <w:t xml:space="preserve">3.7 Revision and FieldChange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Field-level diffs, confirmed. Written automatically on every save.</w:t>
      </w:r>
    </w:p>
    <w:p>
      <w:pPr>
        <w:spacing w:after="120"/>
      </w:pPr>
    </w:p>
    <w:tbl>
      <w:tblPr>
        <w:tblW w:type="dxa" w:w="16400"/>
        <w:tblBorders>
          <w:top w:val="single" w:color="D8DEEC" w:sz="4"/>
          <w:left w:val="single" w:color="D8DEEC" w:sz="4"/>
          <w:bottom w:val="single" w:color="D8DEEC" w:sz="4"/>
          <w:right w:val="single" w:color="D8DEEC" w:sz="4"/>
          <w:insideH w:val="single" w:color="D8DEEC" w:sz="4"/>
          <w:insideV w:val="single" w:color="D8DEEC" w:sz="4"/>
        </w:tblBorders>
      </w:tblPr>
      <w:tblGrid>
        <w:gridCol w:w="1800"/>
        <w:gridCol w:w="2600"/>
        <w:gridCol w:w="3200"/>
        <w:gridCol w:w="8800"/>
      </w:tblGrid>
      <w:tr>
        <w:trPr>
          <w:cantSplit/>
          <w:tblHeader/>
        </w:trPr>
        <w:tc>
          <w:tcPr>
            <w:tcW w:type="dxa" w:w="18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Entity</w:t>
            </w:r>
          </w:p>
        </w:tc>
        <w:tc>
          <w:tcPr>
            <w:tcW w:type="dxa" w:w="26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Field</w:t>
            </w:r>
          </w:p>
        </w:tc>
        <w:tc>
          <w:tcPr>
            <w:tcW w:type="dxa" w:w="32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Type</w:t>
            </w:r>
          </w:p>
        </w:tc>
        <w:tc>
          <w:tcPr>
            <w:tcW w:type="dxa" w:w="88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Revision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version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number</w:t>
            </w:r>
          </w:p>
        </w:tc>
        <w:tc>
          <w:tcPr>
            <w:tcW w:type="dxa" w:w="8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Monotonic per specification. Increments on every save, published or not.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summary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</w:t>
            </w:r>
          </w:p>
        </w:tc>
        <w:tc>
          <w:tcPr>
            <w:tcW w:type="dxa" w:w="8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Author-supplied, optional. Falls back to a generated description of the changes.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status / published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SpecStatus / boolean</w:t>
            </w:r>
          </w:p>
        </w:tc>
        <w:tc>
          <w:tcPr>
            <w:tcW w:type="dxa" w:w="8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State at the time, and whether this was a publish event.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changes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FieldChange[]</w:t>
            </w:r>
          </w:p>
        </w:tc>
        <w:tc>
          <w:tcPr>
            <w:tcW w:type="dxa" w:w="8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What changed.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snapshot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 | null</w:t>
            </w:r>
          </w:p>
        </w:tc>
        <w:tc>
          <w:tcPr>
            <w:tcW w:type="dxa" w:w="8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The full record, serialised. What restore uses.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FieldChange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path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FieldPath</w:t>
            </w:r>
          </w:p>
        </w:tc>
        <w:tc>
          <w:tcPr>
            <w:tcW w:type="dxa" w:w="8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Dotted path — blocks.0.lines.4.text. Precise to the line.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label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</w:t>
            </w:r>
          </w:p>
        </w:tc>
        <w:tc>
          <w:tcPr>
            <w:tcW w:type="dxa" w:w="8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Human label for the diff view — "Technical · line 5".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kind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'added' | 'removed' | 'changed'</w:t>
            </w:r>
          </w:p>
        </w:tc>
        <w:tc>
          <w:tcPr>
            <w:tcW w:type="dxa" w:w="8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/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before / after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string | null</w:t>
            </w:r>
          </w:p>
        </w:tc>
        <w:tc>
          <w:tcPr>
            <w:tcW w:type="dxa" w:w="8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Null on added and removed respectively.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3769"/>
          <w:sz w:val="24"/>
          <w:szCs w:val="24"/>
        </w:rPr>
        <w:t xml:space="preserve">3.8 User and Role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Four roles, declared now so Approver exists before approval workflows are built rather than being retrofitted.</w:t>
      </w:r>
    </w:p>
    <w:p>
      <w:pPr>
        <w:spacing w:after="120"/>
      </w:pPr>
    </w:p>
    <w:tbl>
      <w:tblPr>
        <w:tblW w:type="dxa" w:w="16400"/>
        <w:tblBorders>
          <w:top w:val="single" w:color="D8DEEC" w:sz="4"/>
          <w:left w:val="single" w:color="D8DEEC" w:sz="4"/>
          <w:bottom w:val="single" w:color="D8DEEC" w:sz="4"/>
          <w:right w:val="single" w:color="D8DEEC" w:sz="4"/>
          <w:insideH w:val="single" w:color="D8DEEC" w:sz="4"/>
          <w:insideV w:val="single" w:color="D8DEEC" w:sz="4"/>
        </w:tblBorders>
      </w:tblPr>
      <w:tblGrid>
        <w:gridCol w:w="2600"/>
        <w:gridCol w:w="13800"/>
      </w:tblGrid>
      <w:tr>
        <w:trPr>
          <w:cantSplit/>
          <w:tblHeader/>
        </w:trPr>
        <w:tc>
          <w:tcPr>
            <w:tcW w:type="dxa" w:w="26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Role</w:t>
            </w:r>
          </w:p>
        </w:tc>
        <w:tc>
          <w:tcPr>
            <w:tcW w:type="dxa" w:w="138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Permissions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viewer</w:t>
            </w:r>
          </w:p>
        </w:tc>
        <w:tc>
          <w:tcPr>
            <w:tcW w:type="dxa" w:w="1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spec.read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editor</w:t>
            </w:r>
          </w:p>
        </w:tc>
        <w:tc>
          <w:tcPr>
            <w:tcW w:type="dxa" w:w="1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spec.read · spec.create · spec.update · spec.archive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approver</w:t>
            </w:r>
          </w:p>
        </w:tc>
        <w:tc>
          <w:tcPr>
            <w:tcW w:type="dxa" w:w="1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the above, plus spec.approve · spec.publish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administrator</w:t>
            </w:r>
          </w:p>
        </w:tc>
        <w:tc>
          <w:tcPr>
            <w:tcW w:type="dxa" w:w="1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the above, plus spec.delete · taxonomy.manage · user.manage · settings.manage</w:t>
            </w:r>
          </w:p>
        </w:tc>
      </w:tr>
    </w:tbl>
    <w:p>
      <w:pPr>
        <w:spacing w:after="140"/>
      </w:pP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Permissions are a flat list checked by can(role, permission). Note that only administrators hold spec.delete — permanent deletion exists solely in the Archive tab and requires a typed confirmation, as specified on Phase 2 plate D13.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3769"/>
          <w:sz w:val="24"/>
          <w:szCs w:val="24"/>
        </w:rPr>
        <w:t xml:space="preserve">3.9 Collections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Bookmarks, favourites and recently viewed. Derived, device-scoped, never authored and never part of the category tree. Kept in a separate adapter so they can move to an account later without touching the content model.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3769"/>
          <w:sz w:val="24"/>
          <w:szCs w:val="24"/>
        </w:rPr>
        <w:t xml:space="preserve">3.10 Search and filter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A pre-built index over every searchable field. The reference system filters the sidebar tree by title substring and has no results surface at all.</w:t>
      </w:r>
    </w:p>
    <w:p>
      <w:pPr>
        <w:spacing w:after="120"/>
      </w:pPr>
    </w:p>
    <w:tbl>
      <w:tblPr>
        <w:tblW w:type="dxa" w:w="16400"/>
        <w:tblBorders>
          <w:top w:val="single" w:color="D8DEEC" w:sz="4"/>
          <w:left w:val="single" w:color="D8DEEC" w:sz="4"/>
          <w:bottom w:val="single" w:color="D8DEEC" w:sz="4"/>
          <w:right w:val="single" w:color="D8DEEC" w:sz="4"/>
          <w:insideH w:val="single" w:color="D8DEEC" w:sz="4"/>
          <w:insideV w:val="single" w:color="D8DEEC" w:sz="4"/>
        </w:tblBorders>
      </w:tblPr>
      <w:tblGrid>
        <w:gridCol w:w="2600"/>
        <w:gridCol w:w="13800"/>
      </w:tblGrid>
      <w:tr>
        <w:trPr>
          <w:cantSplit/>
          <w:tblHeader/>
        </w:trPr>
        <w:tc>
          <w:tcPr>
            <w:tcW w:type="dxa" w:w="26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Type</w:t>
            </w:r>
          </w:p>
        </w:tc>
        <w:tc>
          <w:tcPr>
            <w:tcW w:type="dxa" w:w="138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IndexEntry</w:t>
            </w:r>
          </w:p>
        </w:tc>
        <w:tc>
          <w:tcPr>
            <w:tcW w:type="dxa" w:w="1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Title, code, description, tags, status and concatenated body text, plus a normalised form for prefix matching. Built once, queried many times.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FilterState</w:t>
            </w:r>
          </w:p>
        </w:tc>
        <w:tc>
          <w:tcPr>
            <w:tcW w:type="dxa" w:w="1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Every field maps to a URL parameter, so a filtered view is shareable and survives reload — the Phase 1 §5.2 requirement.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Facets</w:t>
            </w:r>
          </w:p>
        </w:tc>
        <w:tc>
          <w:tcPr>
            <w:tcW w:type="dxa" w:w="1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Live counts per category, sub-group, tag and status, driving the filter rail’s count column.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SearchResult</w:t>
            </w:r>
          </w:p>
        </w:tc>
        <w:tc>
          <w:tcPr>
            <w:tcW w:type="dxa" w:w="1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Score plus character ranges to highlight, per matched field.</w:t>
            </w:r>
          </w:p>
        </w:tc>
      </w:tr>
    </w:tbl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B3769"/>
          <w:sz w:val="32"/>
          <w:szCs w:val="32"/>
        </w:rPr>
        <w:t xml:space="preserve">4. Invariants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Rules checked before anything is persisted. Each is a function in invariants.ts and each has a test in verify.ts.</w:t>
      </w:r>
    </w:p>
    <w:p>
      <w:pPr>
        <w:spacing w:after="140"/>
      </w:pPr>
    </w:p>
    <w:tbl>
      <w:tblPr>
        <w:tblW w:type="dxa" w:w="16400"/>
        <w:tblBorders>
          <w:top w:val="single" w:color="D8DEEC" w:sz="4"/>
          <w:left w:val="single" w:color="D8DEEC" w:sz="4"/>
          <w:bottom w:val="single" w:color="D8DEEC" w:sz="4"/>
          <w:right w:val="single" w:color="D8DEEC" w:sz="4"/>
          <w:insideH w:val="single" w:color="D8DEEC" w:sz="4"/>
          <w:insideV w:val="single" w:color="D8DEEC" w:sz="4"/>
        </w:tblBorders>
      </w:tblPr>
      <w:tblGrid>
        <w:gridCol w:w="6400"/>
        <w:gridCol w:w="2600"/>
        <w:gridCol w:w="7400"/>
      </w:tblGrid>
      <w:tr>
        <w:trPr>
          <w:cantSplit/>
          <w:tblHeader/>
        </w:trPr>
        <w:tc>
          <w:tcPr>
            <w:tcW w:type="dxa" w:w="64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Rule</w:t>
            </w:r>
          </w:p>
        </w:tc>
        <w:tc>
          <w:tcPr>
            <w:tcW w:type="dxa" w:w="26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Code</w:t>
            </w:r>
          </w:p>
        </w:tc>
        <w:tc>
          <w:tcPr>
            <w:tcW w:type="dxa" w:w="74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 specification must have a title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required</w:t>
            </w:r>
          </w:p>
        </w:tc>
        <w:tc>
          <w:tcPr>
            <w:tcW w:type="dxa" w:w="7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The only required text field. Everything else may legitimately stay empty.</w:t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 specification must belong to exactly one category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required</w:t>
            </w:r>
          </w:p>
        </w:tc>
        <w:tc>
          <w:tcPr>
            <w:tcW w:type="dxa" w:w="7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Category is the exclusive primary axis — confirmed.</w:t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 sub-group must belong to its specification’s category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orphaned</w:t>
            </w:r>
          </w:p>
        </w:tc>
        <w:tc>
          <w:tcPr>
            <w:tcW w:type="dxa" w:w="7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Prevents a record appearing under a branch it does not belong to.</w:t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Referenced categories, sub-groups, tags and assets must exist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not_found</w:t>
            </w:r>
          </w:p>
        </w:tc>
        <w:tc>
          <w:tcPr>
            <w:tcW w:type="dxa" w:w="7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Catches dangling references before they become rendering failures.</w:t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 superseded specification must name its replacement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missing_replacement</w:t>
            </w:r>
          </w:p>
        </w:tc>
        <w:tc>
          <w:tcPr>
            <w:tcW w:type="dxa" w:w="7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This is the state that matters most for print specifications, where retired versions circulate physically.</w:t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 specification cannot supersede or relate to itself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self_reference</w:t>
            </w:r>
          </w:p>
        </w:tc>
        <w:tc>
          <w:tcPr>
            <w:tcW w:type="dxa" w:w="7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Would produce an infinite navigation loop.</w:t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Metadata keys must be unique within a specification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duplicate</w:t>
            </w:r>
          </w:p>
        </w:tc>
        <w:tc>
          <w:tcPr>
            <w:tcW w:type="dxa" w:w="7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Two fields with the same key make the record ambiguous.</w:t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Slugs must be unique across the catalogue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duplicate</w:t>
            </w:r>
          </w:p>
        </w:tc>
        <w:tc>
          <w:tcPr>
            <w:tcW w:type="dxa" w:w="7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Slugs appear in URLs.</w:t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Status transitions must be permitted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illegal_transition</w:t>
            </w:r>
          </w:p>
        </w:tc>
        <w:tc>
          <w:tcPr>
            <w:tcW w:type="dxa" w:w="7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Seven permitted, thirteen blocked. Nothing returns to draft once published.</w:t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Revisions must belong to an existing specification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orphaned</w:t>
            </w:r>
          </w:p>
        </w:tc>
        <w:tc>
          <w:tcPr>
            <w:tcW w:type="dxa" w:w="7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History without a subject is unrecoverable.</w:t>
            </w:r>
          </w:p>
        </w:tc>
      </w:tr>
      <w:tr>
        <w:trPr>
          <w:cantSplit/>
        </w:trP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Deleting a category with specifications requires reassignment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—</w:t>
            </w:r>
          </w:p>
        </w:tc>
        <w:tc>
          <w:tcPr>
            <w:tcW w:type="dxa" w:w="7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categoryDeletionBlockers() returns the affected records. Never cascades.</w:t>
            </w:r>
          </w:p>
        </w:tc>
      </w:tr>
    </w:tbl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B3769"/>
          <w:sz w:val="32"/>
          <w:szCs w:val="32"/>
        </w:rPr>
        <w:t xml:space="preserve">5. The empty catalogue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What the application loads on first run, and how that is guaranteed.</w:t>
      </w:r>
    </w:p>
    <w:p>
      <w:pPr>
        <w:spacing w:after="140"/>
      </w:pPr>
    </w:p>
    <w:tbl>
      <w:tblPr>
        <w:tblW w:type="dxa" w:w="16400"/>
        <w:tblBorders>
          <w:top w:val="single" w:color="D8DEEC" w:sz="4"/>
          <w:left w:val="single" w:color="D8DEEC" w:sz="4"/>
          <w:bottom w:val="single" w:color="D8DEEC" w:sz="4"/>
          <w:right w:val="single" w:color="D8DEEC" w:sz="4"/>
          <w:insideH w:val="single" w:color="D8DEEC" w:sz="4"/>
          <w:insideV w:val="single" w:color="D8DEEC" w:sz="4"/>
        </w:tblBorders>
      </w:tblPr>
      <w:tblGrid>
        <w:gridCol w:w="11400"/>
        <w:gridCol w:w="5000"/>
      </w:tblGrid>
      <w:tr>
        <w:trPr>
          <w:cantSplit/>
          <w:tblHeader/>
        </w:trPr>
        <w:tc>
          <w:tcPr>
            <w:tcW w:type="dxa" w:w="114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Check</w:t>
            </w:r>
          </w:p>
        </w:tc>
        <w:tc>
          <w:tcPr>
            <w:tcW w:type="dxa" w:w="50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Schema version declared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0F7A4D"/>
                <w:sz w:val="15"/>
                <w:szCs w:val="15"/>
              </w:rPr>
              <w:t xml:space="preserve">PASS  v1</w:t>
            </w:r>
          </w:p>
        </w:tc>
      </w:tr>
      <w:tr>
        <w:trPr>
          <w:cantSplit/>
        </w:trPr>
        <w:tc>
          <w:tcPr>
            <w:tcW w:type="dxa" w:w="1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 fresh catalogue is empty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0F7A4D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The shipping seed is empty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0F7A4D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Seed holds no assets, revisions or users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0F7A4D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Seed search index is unbuilt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0F7A4D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New Specification carries no content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0F7A4D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New Category, SubGroup, Tag, Asset, User carry no content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0F7A4D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Category inheritance adds no values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0F7A4D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Empty catalogue validates clean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0F7A4D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 specification without a category is rejected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0F7A4D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Self-relation is rejected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0F7A4D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Superseded without a replacement is rejected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0F7A4D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Transition map is restrictive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0F7A4D"/>
                <w:sz w:val="15"/>
                <w:szCs w:val="15"/>
              </w:rPr>
              <w:t xml:space="preserve">PASS  7 permitted, 13 blocked</w:t>
            </w:r>
          </w:p>
        </w:tc>
      </w:tr>
      <w:tr>
        <w:trPr>
          <w:cantSplit/>
        </w:trPr>
        <w:tc>
          <w:tcPr>
            <w:tcW w:type="dxa" w:w="1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Nothing returns to draft from published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0F7A4D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Superseded is terminal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0F7A4D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Terminal flags match the transition map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0F7A4D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An illegal transition returns an error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0F7A4D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 legal transition succeeds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0F7A4D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TypeScript strict compilation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0F7A4D"/>
                <w:sz w:val="15"/>
                <w:szCs w:val="15"/>
              </w:rPr>
              <w:t xml:space="preserve">PASS  0 errors</w:t>
            </w:r>
          </w:p>
        </w:tc>
      </w:tr>
    </w:tbl>
    <w:p>
      <w:pPr>
        <w:spacing w:after="160"/>
      </w:pPr>
    </w:p>
    <w:tbl>
      <w:tblPr>
        <w:tblW w:type="dxa" w:w="22374"/>
        <w:tblBorders>
          <w:top w:val="single" w:color="D8DEEC" w:sz="4"/>
          <w:left w:val="single" w:color="2861FD" w:sz="18"/>
          <w:bottom w:val="single" w:color="D8DEEC" w:sz="4"/>
          <w:right w:val="single" w:color="D8DEEC" w:sz="4"/>
          <w:insideH w:val="none"/>
          <w:insideV w:val="none"/>
        </w:tblBorders>
      </w:tblPr>
      <w:tblGrid>
        <w:gridCol w:w="22374"/>
      </w:tblGrid>
      <w:tr>
        <w:tc>
          <w:tcPr>
            <w:tcW w:type="dxa" w:w="22374"/>
            <w:shd w:fill="F5F7FC" w:color="auto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aps/>
                <w:color w:val="2861FD"/>
                <w:spacing w:val="30"/>
                <w:sz w:val="15"/>
                <w:szCs w:val="15"/>
              </w:rPr>
              <w:t xml:space="preserve">Why this is a script and not a sentence</w:t>
            </w:r>
          </w:p>
          <w:p>
            <w:pPr>
              <w:spacing w:after="50" w:line="262"/>
            </w:pPr>
            <w:r>
              <w:rPr>
                <w:rFonts w:ascii="Calibri" w:cs="Calibri" w:eastAsia="Calibri" w:hAnsi="Calibri"/>
                <w:color w:val="0D1E3F"/>
                <w:sz w:val="18"/>
                <w:szCs w:val="18"/>
              </w:rPr>
              <w:t xml:space="preserve">"Every field ships empty" is trivially easy to claim and trivially easy to break — one default string, one seeded category, one convenience value, and the promise is gone without anyone noticing.</w:t>
            </w:r>
          </w:p>
          <w:p>
            <w:pPr>
              <w:spacing w:after="50" w:line="262"/>
            </w:pPr>
            <w:r>
              <w:rPr>
                <w:rFonts w:ascii="Calibri" w:cs="Calibri" w:eastAsia="Calibri" w:hAnsi="Calibri"/>
                <w:color w:val="0D1E3F"/>
                <w:sz w:val="18"/>
                <w:szCs w:val="18"/>
              </w:rPr>
              <w:t xml:space="preserve">verify.ts walks every factory recursively and fails the build if any field carries authored content. It caught one genuine problem while being written: an over-strict check that flagged an empty nested object as populated.</w:t>
            </w:r>
          </w:p>
        </w:tc>
      </w:tr>
    </w:tbl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B3769"/>
          <w:sz w:val="32"/>
          <w:szCs w:val="32"/>
        </w:rPr>
        <w:t xml:space="preserve">6. Extensibility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Your Phase 9 requirement was that future additions need no structural change. This is how each named item is already accommodated.</w:t>
      </w:r>
    </w:p>
    <w:p>
      <w:pPr>
        <w:spacing w:after="140"/>
      </w:pPr>
    </w:p>
    <w:tbl>
      <w:tblPr>
        <w:tblW w:type="dxa" w:w="16400"/>
        <w:tblBorders>
          <w:top w:val="single" w:color="D8DEEC" w:sz="4"/>
          <w:left w:val="single" w:color="D8DEEC" w:sz="4"/>
          <w:bottom w:val="single" w:color="D8DEEC" w:sz="4"/>
          <w:right w:val="single" w:color="D8DEEC" w:sz="4"/>
          <w:insideH w:val="single" w:color="D8DEEC" w:sz="4"/>
          <w:insideV w:val="single" w:color="D8DEEC" w:sz="4"/>
        </w:tblBorders>
      </w:tblPr>
      <w:tblGrid>
        <w:gridCol w:w="4400"/>
        <w:gridCol w:w="12000"/>
      </w:tblGrid>
      <w:tr>
        <w:trPr>
          <w:cantSplit/>
          <w:tblHeader/>
        </w:trPr>
        <w:tc>
          <w:tcPr>
            <w:tcW w:type="dxa" w:w="44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Phase 9 requirement</w:t>
            </w:r>
          </w:p>
        </w:tc>
        <w:tc>
          <w:tcPr>
            <w:tcW w:type="dxa" w:w="120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How the model already carries it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Hundreds of specifications</w:t>
            </w:r>
          </w:p>
        </w:tc>
        <w:tc>
          <w:tcPr>
            <w:tcW w:type="dxa" w:w="1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Normalised storage keyed by id, a pre-built search index, and a summary type so a list row never loads blocks or assets.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Multiple categories</w:t>
            </w:r>
          </w:p>
        </w:tc>
        <w:tc>
          <w:tcPr>
            <w:tcW w:type="dxa" w:w="1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Category is a first-class entity with authored order and its own templates. Adding one is data, not code.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Nested specifications</w:t>
            </w:r>
          </w:p>
        </w:tc>
        <w:tc>
          <w:tcPr>
            <w:tcW w:type="dxa" w:w="1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The nullable SubGroup tier handles one level. Deeper nesting would need a parentId on Category — a single field, no restructuring.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Images, videos, PDFs, CAD files</w:t>
            </w:r>
          </w:p>
        </w:tc>
        <w:tc>
          <w:tcPr>
            <w:tcW w:type="dxa" w:w="1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One Asset model with a kind derived from MIME type. AssetKind already names all four.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Downloads</w:t>
            </w:r>
          </w:p>
        </w:tc>
        <w:tc>
          <w:tcPr>
            <w:tcW w:type="dxa" w:w="1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AssetRole distinguishes downloads from media and attachments, so the pinned bar is a filter, not a separate collection.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Version control</w:t>
            </w:r>
          </w:p>
        </w:tc>
        <w:tc>
          <w:tcPr>
            <w:tcW w:type="dxa" w:w="1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Revision with field-level diffs and a full snapshot. Published version and revision count are distinct numbers.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User permissions</w:t>
            </w:r>
          </w:p>
        </w:tc>
        <w:tc>
          <w:tcPr>
            <w:tcW w:type="dxa" w:w="1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Four roles, a flat permission list, and can(). Adding a permission is one entry in the map.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Approval workflows</w:t>
            </w:r>
          </w:p>
        </w:tc>
        <w:tc>
          <w:tcPr>
            <w:tcW w:type="dxa" w:w="1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The in_review state and the approver role both exist now. A workflow adds transitions, not entities.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Search indexing</w:t>
            </w:r>
          </w:p>
        </w:tc>
        <w:tc>
          <w:tcPr>
            <w:tcW w:type="dxa" w:w="1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SearchIndex, IndexEntry, Facets and FilterState are defined. Swapping in an external index means implementing one interface.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API integration</w:t>
            </w:r>
          </w:p>
        </w:tc>
        <w:tc>
          <w:tcPr>
            <w:tcW w:type="dxa" w:w="1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Nothing in the model references a transport. The service layer in Phase 5 is the only thing that knows where data comes from.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CMS integration</w:t>
            </w:r>
          </w:p>
        </w:tc>
        <w:tc>
          <w:tcPr>
            <w:tcW w:type="dxa" w:w="1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Same. A CMS becomes an adapter that returns a Catalogue.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3769"/>
          <w:sz w:val="24"/>
          <w:szCs w:val="24"/>
        </w:rPr>
        <w:t xml:space="preserve">6.1 What would require a migration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Stated plainly, because a model that claims to accommodate everything is not being honest.</w:t>
      </w:r>
    </w:p>
    <w:p>
      <w:pPr>
        <w:pStyle w:val="ListParagraph"/>
        <w:numPr>
          <w:ilvl w:val="0"/>
          <w:numId w:val="1"/>
        </w:numPr>
        <w:spacing w:after="50" w:line="258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Making category non-exclusive. Changing categoryId to categoryIds would touch the navigation, the filter rail, the breadcrumb and the index. This is why the question was worth asking before building.</w:t>
      </w:r>
    </w:p>
    <w:p>
      <w:pPr>
        <w:pStyle w:val="ListParagraph"/>
        <w:numPr>
          <w:ilvl w:val="0"/>
          <w:numId w:val="1"/>
        </w:numPr>
        <w:spacing w:after="50" w:line="258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Nesting categories more than one level deep. The tree components assume a fixed depth of three.</w:t>
      </w:r>
    </w:p>
    <w:p>
      <w:pPr>
        <w:pStyle w:val="ListParagraph"/>
        <w:numPr>
          <w:ilvl w:val="0"/>
          <w:numId w:val="1"/>
        </w:numPr>
        <w:spacing w:after="50" w:line="258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Making metadata typed rather than dynamic. Going the other way — dynamic to fixed — is the migration; the confirmed direction avoids it.</w:t>
      </w:r>
    </w:p>
    <w:p>
      <w:pPr>
        <w:spacing w:after="100" w:before="10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SCHEMA_VERSION exists for exactly these cases. Phase 5 reads it on load and can run a migration when it does not match.</w:t>
      </w:r>
    </w:p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B3769"/>
          <w:sz w:val="32"/>
          <w:szCs w:val="32"/>
        </w:rPr>
        <w:t xml:space="preserve">7. Delivered files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data-model/ in your project folder. No runtime dependencies.</w:t>
      </w:r>
    </w:p>
    <w:p>
      <w:pPr>
        <w:spacing w:after="140"/>
      </w:pPr>
    </w:p>
    <w:tbl>
      <w:tblPr>
        <w:tblW w:type="dxa" w:w="16400"/>
        <w:tblBorders>
          <w:top w:val="single" w:color="D8DEEC" w:sz="4"/>
          <w:left w:val="single" w:color="D8DEEC" w:sz="4"/>
          <w:bottom w:val="single" w:color="D8DEEC" w:sz="4"/>
          <w:right w:val="single" w:color="D8DEEC" w:sz="4"/>
          <w:insideH w:val="single" w:color="D8DEEC" w:sz="4"/>
          <w:insideV w:val="single" w:color="D8DEEC" w:sz="4"/>
        </w:tblBorders>
      </w:tblPr>
      <w:tblGrid>
        <w:gridCol w:w="3600"/>
        <w:gridCol w:w="12800"/>
      </w:tblGrid>
      <w:tr>
        <w:trPr>
          <w:cantSplit/>
          <w:tblHeader/>
        </w:trPr>
        <w:tc>
          <w:tcPr>
            <w:tcW w:type="dxa" w:w="36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File</w:t>
            </w:r>
          </w:p>
        </w:tc>
        <w:tc>
          <w:tcPr>
            <w:tcW w:type="dxa" w:w="12800"/>
            <w:shd w:fill="EE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b/>
                <w:bCs/>
                <w:color w:val="1B3769"/>
                <w:sz w:val="15"/>
                <w:szCs w:val="15"/>
              </w:rPr>
              <w:t xml:space="preserve">Contains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src/ids.ts</w:t>
            </w:r>
          </w:p>
        </w:tc>
        <w:tc>
          <w:tcPr>
            <w:tcW w:type="dxa" w:w="1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Branded identifier types, opaque constructors, and id minting.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src/common.ts</w:t>
            </w:r>
          </w:p>
        </w:tc>
        <w:tc>
          <w:tcPr>
            <w:tcW w:type="dxa" w:w="1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Timestamps, audit and archive mixins, Result and ValidationError, slugify.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src/status.ts</w:t>
            </w:r>
          </w:p>
        </w:tc>
        <w:tc>
          <w:tcPr>
            <w:tcW w:type="dxa" w:w="1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The five states, their metadata, and the transition map.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src/content.ts</w:t>
            </w:r>
          </w:p>
        </w:tc>
        <w:tc>
          <w:tcPr>
            <w:tcW w:type="dxa" w:w="1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SpecBlock, BlockLine, MetadataField, MetadataTemplate.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src/assets.ts</w:t>
            </w:r>
          </w:p>
        </w:tc>
        <w:tc>
          <w:tcPr>
            <w:tcW w:type="dxa" w:w="1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Asset, ImageMeta, StorageAdapter, MIME-to-kind mapping.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src/taxonomy.ts</w:t>
            </w:r>
          </w:p>
        </w:tc>
        <w:tc>
          <w:tcPr>
            <w:tcW w:type="dxa" w:w="1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Category, SubGroup, Tag.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src/specification.ts</w:t>
            </w:r>
          </w:p>
        </w:tc>
        <w:tc>
          <w:tcPr>
            <w:tcW w:type="dxa" w:w="1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Specification and SpecificationSummary.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src/revision.ts</w:t>
            </w:r>
          </w:p>
        </w:tc>
        <w:tc>
          <w:tcPr>
            <w:tcW w:type="dxa" w:w="1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Revision, FieldChange, generated change descriptions.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src/access.ts</w:t>
            </w:r>
          </w:p>
        </w:tc>
        <w:tc>
          <w:tcPr>
            <w:tcW w:type="dxa" w:w="1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User, Role, Permission, ROLE_PERMISSIONS, can().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src/collections.ts</w:t>
            </w:r>
          </w:p>
        </w:tc>
        <w:tc>
          <w:tcPr>
            <w:tcW w:type="dxa" w:w="1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Bookmarks, favourites, recently viewed, and their adapter.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src/search.ts</w:t>
            </w:r>
          </w:p>
        </w:tc>
        <w:tc>
          <w:tcPr>
            <w:tcW w:type="dxa" w:w="1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SearchIndex, IndexEntry, FilterState, Facets, SearchResult.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src/catalogue.ts</w:t>
            </w:r>
          </w:p>
        </w:tc>
        <w:tc>
          <w:tcPr>
            <w:tcW w:type="dxa" w:w="1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The Catalogue aggregate, SCHEMA_VERSION, emptyCatalogue, isEmpty.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src/factories.ts</w:t>
            </w:r>
          </w:p>
        </w:tc>
        <w:tc>
          <w:tcPr>
            <w:tcW w:type="dxa" w:w="1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Empty-value constructors, including category-template inheritance.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src/invariants.ts</w:t>
            </w:r>
          </w:p>
        </w:tc>
        <w:tc>
          <w:tcPr>
            <w:tcW w:type="dxa" w:w="1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validateSpecification, validateTransition, validateCatalogue, categoryDeletionBlockers.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src/index.ts</w:t>
            </w:r>
          </w:p>
        </w:tc>
        <w:tc>
          <w:tcPr>
            <w:tcW w:type="dxa" w:w="1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Barrel export.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data/catalogue.empty.ts</w:t>
            </w:r>
          </w:p>
        </w:tc>
        <w:tc>
          <w:tcPr>
            <w:tcW w:type="dxa" w:w="1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The shipping catalogue. Verifiably empty.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verify.ts</w:t>
            </w:r>
          </w:p>
        </w:tc>
        <w:tc>
          <w:tcPr>
            <w:tcW w:type="dxa" w:w="1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23 assertions covering emptiness, invariants and the lifecycle.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0D1E3F"/>
                <w:sz w:val="15"/>
                <w:szCs w:val="15"/>
              </w:rPr>
              <w:t xml:space="preserve">tsconfig.json · package.json</w:t>
            </w:r>
          </w:p>
        </w:tc>
        <w:tc>
          <w:tcPr>
            <w:tcW w:type="dxa" w:w="1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4"/>
            </w:pPr>
            <w:r>
              <w:rPr>
                <w:rFonts w:ascii="Calibri" w:cs="Calibri" w:eastAsia="Calibri" w:hAnsi="Calibri"/>
                <w:color w:val="0D1E3F"/>
                <w:sz w:val="15"/>
                <w:szCs w:val="15"/>
              </w:rPr>
              <w:t xml:space="preserve">Strict configuration. npm run check runs both the type-checker and the assertions.</w:t>
            </w:r>
          </w:p>
        </w:tc>
      </w:tr>
    </w:tbl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B3769"/>
          <w:sz w:val="32"/>
          <w:szCs w:val="32"/>
        </w:rPr>
        <w:t xml:space="preserve">8. Phase 5 scope &amp; approval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On approval, Phase 5 produces the application architecture — deliverable 10. The project structure, the service layer, routing, state and the build configuration.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3769"/>
          <w:sz w:val="24"/>
          <w:szCs w:val="24"/>
        </w:rPr>
        <w:t xml:space="preserve">8.1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D1E3F"/>
          <w:sz w:val="19"/>
          <w:szCs w:val="19"/>
        </w:rPr>
        <w:t xml:space="preserve">Project structure — </w:t>
      </w:r>
      <w:r>
        <w:rPr>
          <w:rFonts w:ascii="Calibri" w:cs="Calibri" w:eastAsia="Calibri" w:hAnsi="Calibri"/>
          <w:color w:val="0D1E3F"/>
          <w:sz w:val="19"/>
          <w:szCs w:val="19"/>
        </w:rPr>
        <w:t xml:space="preserve">React, TypeScript and Vite with the directory layout your brief specifies — components, layouts, pages, hooks, utils, types, services, data, assets, styles — populated with the fifty-nine components from Phase 3 and this data model.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D1E3F"/>
          <w:sz w:val="19"/>
          <w:szCs w:val="19"/>
        </w:rPr>
        <w:t xml:space="preserve">Service layer — </w:t>
      </w:r>
      <w:r>
        <w:rPr>
          <w:rFonts w:ascii="Calibri" w:cs="Calibri" w:eastAsia="Calibri" w:hAnsi="Calibri"/>
          <w:color w:val="0D1E3F"/>
          <w:sz w:val="19"/>
          <w:szCs w:val="19"/>
        </w:rPr>
        <w:t xml:space="preserve">The adapter boundary. A local file adapter backed by data/catalogue.empty.ts, written so an API or CMS can replace it without touching a component.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D1E3F"/>
          <w:sz w:val="19"/>
          <w:szCs w:val="19"/>
        </w:rPr>
        <w:t xml:space="preserve">Routing — </w:t>
      </w:r>
      <w:r>
        <w:rPr>
          <w:rFonts w:ascii="Calibri" w:cs="Calibri" w:eastAsia="Calibri" w:hAnsi="Calibri"/>
          <w:color w:val="0D1E3F"/>
          <w:sz w:val="19"/>
          <w:szCs w:val="19"/>
        </w:rPr>
        <w:t xml:space="preserve">Hash routing as specified in Phase 1 §6, isolated behind one module so a switch to history routing is a single-file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D1E3F"/>
          <w:sz w:val="19"/>
          <w:szCs w:val="19"/>
        </w:rPr>
        <w:t xml:space="preserve">State — </w:t>
      </w:r>
      <w:r>
        <w:rPr>
          <w:rFonts w:ascii="Calibri" w:cs="Calibri" w:eastAsia="Calibri" w:hAnsi="Calibri"/>
          <w:color w:val="0D1E3F"/>
          <w:sz w:val="19"/>
          <w:szCs w:val="19"/>
        </w:rPr>
        <w:t xml:space="preserve">What lives in the URL (filters, sort, view), what lives in memory (catalogue, index), and what persists per device (collections, theme, view preference).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D1E3F"/>
          <w:sz w:val="19"/>
          <w:szCs w:val="19"/>
        </w:rPr>
        <w:t xml:space="preserve">Build — </w:t>
      </w:r>
      <w:r>
        <w:rPr>
          <w:rFonts w:ascii="Calibri" w:cs="Calibri" w:eastAsia="Calibri" w:hAnsi="Calibri"/>
          <w:color w:val="0D1E3F"/>
          <w:sz w:val="19"/>
          <w:szCs w:val="19"/>
        </w:rPr>
        <w:t xml:space="preserve">Vite configuration, path aliases, the Tailwind bridge to the Phase 3 tokens, and a static build that deploys to GitHub Pages exactly as the current site does.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3769"/>
          <w:sz w:val="24"/>
          <w:szCs w:val="24"/>
        </w:rPr>
        <w:t xml:space="preserve">8.2 Decisions needed</w:t>
      </w:r>
    </w:p>
    <w:p>
      <w:pPr>
        <w:pStyle w:val="ListParagraph"/>
        <w:numPr>
          <w:ilvl w:val="0"/>
          <w:numId w:val="1"/>
        </w:numPr>
        <w:spacing w:after="50" w:line="258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Package manager and Node version, if you have a preference. Otherwise npm and Node 20 LTS.</w:t>
      </w:r>
    </w:p>
    <w:p>
      <w:pPr>
        <w:pStyle w:val="ListParagraph"/>
        <w:numPr>
          <w:ilvl w:val="0"/>
          <w:numId w:val="1"/>
        </w:numPr>
        <w:spacing w:after="50" w:line="258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Whether the admin layer should be behind a build flag, so a public deployment can ship without it.</w:t>
      </w:r>
    </w:p>
    <w:p>
      <w:pPr>
        <w:pStyle w:val="ListParagraph"/>
        <w:numPr>
          <w:ilvl w:val="0"/>
          <w:numId w:val="1"/>
        </w:numPr>
        <w:spacing w:after="50" w:line="258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Whether to include a test setup now — Vitest and Testing Library — or defer it to Phase 6.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3769"/>
          <w:sz w:val="24"/>
          <w:szCs w:val="24"/>
        </w:rPr>
        <w:t xml:space="preserve">8.3 Approval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E3F"/>
          <w:sz w:val="19"/>
          <w:szCs w:val="19"/>
        </w:rPr>
        <w:t xml:space="preserve">This is the last phase where the shape of the data can change cheaply. Once components are written against these types, changing categoryId to categoryIds or making metadata a fixed schema means touching the navigation, the filters, the breadcrumb and the index together.</w:t>
      </w:r>
    </w:p>
    <w:p>
      <w:pPr>
        <w:spacing w:after="240"/>
      </w:pPr>
    </w:p>
    <w:p>
      <w:pPr>
        <w:pBdr>
          <w:bottom w:val="single" w:color="D8DEEC" w:sz="6"/>
        </w:pBdr>
        <w:spacing w:after="180" w:before="60"/>
      </w:pPr>
    </w:p>
    <w:p>
      <w:pPr>
        <w:spacing w:after="100" w:before="0" w:line="264"/>
      </w:pPr>
      <w:r>
        <w:rPr>
          <w:rFonts w:ascii="Calibri" w:cs="Calibri" w:eastAsia="Calibri" w:hAnsi="Calibri"/>
          <w:b/>
          <w:bCs/>
          <w:color w:val="1B3769"/>
          <w:sz w:val="19"/>
          <w:szCs w:val="19"/>
        </w:rPr>
        <w:t xml:space="preserve">End of Phase 4. </w:t>
      </w:r>
      <w:r>
        <w:rPr>
          <w:rFonts w:ascii="Calibri" w:cs="Calibri" w:eastAsia="Calibri" w:hAnsi="Calibri"/>
          <w:color w:val="4B5870"/>
          <w:sz w:val="19"/>
          <w:szCs w:val="19"/>
        </w:rPr>
        <w:t xml:space="preserve">Deliverable 9 of 12 complete. Awaiting approval to proceed to Phase 5.</w:t>
      </w:r>
    </w:p>
    <w:sectPr>
      <w:footerReference w:type="default" r:id="rId7"/>
      <w:pgSz w:w="23814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C" w:sz="4"/>
      </w:pBdr>
      <w:spacing w:before="100"/>
      <w:jc w:val="right"/>
    </w:pPr>
    <w:r>
      <w:rPr>
        <w:rFonts w:ascii="Calibri" w:cs="Calibri" w:eastAsia="Calibri" w:hAnsi="Calibri"/>
        <w:color w:val="4B5870"/>
        <w:sz w:val="14"/>
        <w:szCs w:val="14"/>
      </w:rPr>
      <w:t xml:space="preserve">Phase 4 — Data Model    </w:t>
    </w:r>
    <w:r>
      <w:rPr>
        <w:rFonts w:ascii="Calibri" w:cs="Calibri" w:eastAsia="Calibri" w:hAnsi="Calibri"/>
        <w:b/>
        <w:bCs/>
        <w:color w:val="1B376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D1E3F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4d71e88613aa02efd517806c8e80698297ccc53.png"/><Relationship Id="rId9" Type="http://schemas.openxmlformats.org/officeDocument/2006/relationships/image" Target="media/af89cc6b99ab97bc66826a9ec3fa2a782f9c6e70.png"/><Relationship Id="rId10" Type="http://schemas.openxmlformats.org/officeDocument/2006/relationships/image" Target="media/c2fc8a8a04c76d0d7a2ca2c37c51db131d7efcbf.png"/><Relationship Id="rId11" Type="http://schemas.openxmlformats.org/officeDocument/2006/relationships/image" Target="media/7f16ebd09d333eec2c87a4b5e91de999afc740e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 — Data Model</dc:title>
  <dc:creator>Specifications Platform</dc:creator>
  <cp:lastModifiedBy>Un-named</cp:lastModifiedBy>
  <cp:revision>1</cp:revision>
  <dcterms:created xsi:type="dcterms:W3CDTF">2026-08-07T08:47:59.589Z</dcterms:created>
  <dcterms:modified xsi:type="dcterms:W3CDTF">2026-08-07T08:47:59.589Z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