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C885" w14:textId="02AA871B" w:rsidR="000D472A" w:rsidRPr="003E7583" w:rsidRDefault="003E7583" w:rsidP="003E7583">
      <w:pPr>
        <w:jc w:val="center"/>
        <w:rPr>
          <w:b/>
          <w:bCs/>
        </w:rPr>
      </w:pPr>
      <w:r w:rsidRPr="003E7583">
        <w:rPr>
          <w:b/>
          <w:bCs/>
        </w:rPr>
        <w:t>Mieter der Wohnhausanlage</w:t>
      </w:r>
    </w:p>
    <w:p w14:paraId="43CAA5AA" w14:textId="37310464" w:rsidR="003E7583" w:rsidRPr="003E7583" w:rsidRDefault="003E7583" w:rsidP="003E7583">
      <w:pPr>
        <w:jc w:val="center"/>
        <w:rPr>
          <w:b/>
          <w:bCs/>
        </w:rPr>
      </w:pPr>
      <w:r w:rsidRPr="003E7583">
        <w:rPr>
          <w:b/>
          <w:bCs/>
        </w:rPr>
        <w:t>Erzherzog Rainer-Gasse 5-7</w:t>
      </w:r>
    </w:p>
    <w:p w14:paraId="6E823F26" w14:textId="6D260C41" w:rsidR="003E7583" w:rsidRPr="003E7583" w:rsidRDefault="003E7583" w:rsidP="003E7583">
      <w:pPr>
        <w:jc w:val="center"/>
        <w:rPr>
          <w:b/>
          <w:bCs/>
        </w:rPr>
      </w:pPr>
      <w:r w:rsidRPr="003E7583">
        <w:rPr>
          <w:b/>
          <w:bCs/>
        </w:rPr>
        <w:t>3400 Klosterneuburg</w:t>
      </w:r>
    </w:p>
    <w:p w14:paraId="67B11B2A" w14:textId="106BF659" w:rsidR="003E7583" w:rsidRDefault="003E7583">
      <w:pPr>
        <w:rPr>
          <w:u w:val="single"/>
        </w:rPr>
      </w:pPr>
    </w:p>
    <w:p w14:paraId="18D670E0" w14:textId="75B51238" w:rsidR="003E7583" w:rsidRDefault="003E7583">
      <w:pPr>
        <w:rPr>
          <w:u w:val="single"/>
        </w:rPr>
      </w:pPr>
    </w:p>
    <w:p w14:paraId="3E88EE2C" w14:textId="630DCE8E" w:rsidR="003E7583" w:rsidRDefault="003E7583">
      <w:pPr>
        <w:rPr>
          <w:u w:val="single"/>
        </w:rPr>
      </w:pPr>
    </w:p>
    <w:p w14:paraId="23B9FCD3" w14:textId="164C3E3B" w:rsidR="003E7583" w:rsidRDefault="003E7583">
      <w:r>
        <w:t>An die</w:t>
      </w:r>
    </w:p>
    <w:p w14:paraId="08E33DFB" w14:textId="77777777" w:rsidR="003E7583" w:rsidRDefault="003E7583">
      <w:r>
        <w:t>Gemeinnützige Wohn- und Siedlungsgesellschaft</w:t>
      </w:r>
    </w:p>
    <w:p w14:paraId="05FC1928" w14:textId="3EFF3D47" w:rsidR="003E7583" w:rsidRDefault="003E7583">
      <w:r>
        <w:t>Schönere Zukunft Gesellschaft mbH</w:t>
      </w:r>
    </w:p>
    <w:p w14:paraId="60DEA25C" w14:textId="5BD43E8E" w:rsidR="003E7583" w:rsidRDefault="003E7583">
      <w:r>
        <w:t>Hietzinger Hauptstraße119</w:t>
      </w:r>
    </w:p>
    <w:p w14:paraId="7870B9EE" w14:textId="4CF397B5" w:rsidR="003E7583" w:rsidRDefault="003E7583">
      <w:pPr>
        <w:rPr>
          <w:u w:val="single"/>
        </w:rPr>
      </w:pPr>
      <w:r w:rsidRPr="003E7583">
        <w:rPr>
          <w:u w:val="single"/>
        </w:rPr>
        <w:t>1130 Wien</w:t>
      </w:r>
    </w:p>
    <w:p w14:paraId="380FE424" w14:textId="54B01218" w:rsidR="003E7583" w:rsidRDefault="003E7583">
      <w:pPr>
        <w:rPr>
          <w:u w:val="single"/>
        </w:rPr>
      </w:pPr>
    </w:p>
    <w:p w14:paraId="01B2F478" w14:textId="395851B1" w:rsidR="003E7583" w:rsidRDefault="003E7583">
      <w:pPr>
        <w:rPr>
          <w:b/>
          <w:bCs/>
        </w:rPr>
      </w:pPr>
      <w:r>
        <w:rPr>
          <w:b/>
          <w:bCs/>
        </w:rPr>
        <w:t>Betrifft: Schreiben vom 23. Dezember 2022 – Mietenerhöhung 2023</w:t>
      </w:r>
    </w:p>
    <w:p w14:paraId="0C42C4C0" w14:textId="7882BE3B" w:rsidR="003E7583" w:rsidRDefault="003E7583">
      <w:pPr>
        <w:rPr>
          <w:b/>
          <w:bCs/>
        </w:rPr>
      </w:pPr>
    </w:p>
    <w:p w14:paraId="338BEBA2" w14:textId="19DB73B4" w:rsidR="003E7583" w:rsidRDefault="003E7583">
      <w:pPr>
        <w:rPr>
          <w:b/>
          <w:bCs/>
        </w:rPr>
      </w:pPr>
    </w:p>
    <w:p w14:paraId="12F28FAB" w14:textId="5CB042D2" w:rsidR="003E7583" w:rsidRDefault="003E7583">
      <w:r>
        <w:t>Sehr geehrte Damen und Herren,</w:t>
      </w:r>
    </w:p>
    <w:p w14:paraId="71004874" w14:textId="32E88600" w:rsidR="003E7583" w:rsidRDefault="003E7583"/>
    <w:p w14:paraId="6F857E7B" w14:textId="77777777" w:rsidR="009F5481" w:rsidRDefault="003E7583">
      <w:r>
        <w:t xml:space="preserve">wir bestätigen dankend den Erhalt Ihres Schreibens vom 23. Dezember 2022. Wir nehmen die von Ihnen angeführten allgemeinen Informationen </w:t>
      </w:r>
      <w:r w:rsidR="009F5481">
        <w:t xml:space="preserve">über </w:t>
      </w:r>
    </w:p>
    <w:p w14:paraId="3DAFF236" w14:textId="21EBE426" w:rsidR="009F5481" w:rsidRDefault="009F5481"/>
    <w:p w14:paraId="719C5A2C" w14:textId="66164BB9" w:rsidR="009F5481" w:rsidRDefault="009F5481" w:rsidP="009F5481">
      <w:pPr>
        <w:pStyle w:val="Listenabsatz"/>
        <w:numPr>
          <w:ilvl w:val="0"/>
          <w:numId w:val="1"/>
        </w:numPr>
      </w:pPr>
      <w:r>
        <w:t>die Entwicklung der Finanzierungskosten</w:t>
      </w:r>
    </w:p>
    <w:p w14:paraId="1B1BFF35" w14:textId="523B8F03" w:rsidR="009F5481" w:rsidRDefault="009F5481" w:rsidP="009F5481">
      <w:pPr>
        <w:pStyle w:val="Listenabsatz"/>
        <w:numPr>
          <w:ilvl w:val="0"/>
          <w:numId w:val="1"/>
        </w:numPr>
      </w:pPr>
      <w:r>
        <w:t>die aushaftenden Kredite</w:t>
      </w:r>
    </w:p>
    <w:p w14:paraId="136FCAAC" w14:textId="0F86A660" w:rsidR="009F5481" w:rsidRDefault="009F5481" w:rsidP="001854B2">
      <w:pPr>
        <w:pStyle w:val="Listenabsatz"/>
        <w:numPr>
          <w:ilvl w:val="0"/>
          <w:numId w:val="1"/>
        </w:numPr>
      </w:pPr>
      <w:r>
        <w:t>ein freiwilliges Kaufanbot der angemieteten Wohneinheiten per 1. Jänner 2024</w:t>
      </w:r>
    </w:p>
    <w:p w14:paraId="7A951648" w14:textId="1C30B895" w:rsidR="001854B2" w:rsidRDefault="001854B2" w:rsidP="001854B2">
      <w:pPr>
        <w:pStyle w:val="Listenabsatz"/>
        <w:numPr>
          <w:ilvl w:val="0"/>
          <w:numId w:val="1"/>
        </w:numPr>
      </w:pPr>
      <w:r>
        <w:t>etc</w:t>
      </w:r>
    </w:p>
    <w:p w14:paraId="52E64567" w14:textId="77777777" w:rsidR="009F5481" w:rsidRDefault="009F5481" w:rsidP="009F5481">
      <w:pPr>
        <w:pStyle w:val="Listenabsatz"/>
      </w:pPr>
    </w:p>
    <w:p w14:paraId="3C630B75" w14:textId="77777777" w:rsidR="009F5481" w:rsidRDefault="003E7583">
      <w:r>
        <w:t xml:space="preserve">gerne zur Kenntnis. </w:t>
      </w:r>
    </w:p>
    <w:p w14:paraId="3319DB18" w14:textId="77777777" w:rsidR="009F5481" w:rsidRDefault="009F5481"/>
    <w:p w14:paraId="41FDAE11" w14:textId="0F89C9AD" w:rsidR="00832AE6" w:rsidRDefault="003E7583" w:rsidP="00804541">
      <w:pPr>
        <w:jc w:val="both"/>
      </w:pPr>
      <w:r>
        <w:t xml:space="preserve">Mit Schreiben vom </w:t>
      </w:r>
      <w:r w:rsidR="009F5481">
        <w:t>5. Dezember 2022 haben Sie uns über die Mietenvorschreibungen ab 1. Jänner 2023 informiert. Die in den Vorschreibungen angeführte Mietenerhöhung bedeutet für uns ein</w:t>
      </w:r>
      <w:r w:rsidR="0074306A">
        <w:t>e</w:t>
      </w:r>
      <w:r w:rsidR="009F5481">
        <w:t xml:space="preserve"> </w:t>
      </w:r>
      <w:r w:rsidR="00804541">
        <w:t xml:space="preserve">wesentliche finanzielle </w:t>
      </w:r>
      <w:r w:rsidR="0074306A">
        <w:t>monat</w:t>
      </w:r>
      <w:r w:rsidR="00804541">
        <w:t>liche</w:t>
      </w:r>
      <w:r w:rsidR="0074306A">
        <w:t xml:space="preserve"> </w:t>
      </w:r>
      <w:r w:rsidR="00804541">
        <w:t>Mehrb</w:t>
      </w:r>
      <w:r w:rsidR="0074306A">
        <w:t xml:space="preserve">elastung. Uns war selbstverständlich bewusst, dass auf Grund der gestiegenen Finanzierungskosten und der hohen Inflationsrate mit einer Mietenerhöhung zu rechnen war, </w:t>
      </w:r>
      <w:r w:rsidR="00804541">
        <w:t>allerdings nicht in dem uns mitgeteilte</w:t>
      </w:r>
      <w:r w:rsidR="007E045F">
        <w:t>n</w:t>
      </w:r>
      <w:r w:rsidR="00804541">
        <w:t xml:space="preserve"> </w:t>
      </w:r>
      <w:r w:rsidR="0074306A">
        <w:t>Ausmaß.</w:t>
      </w:r>
    </w:p>
    <w:p w14:paraId="3D53A101" w14:textId="4C5487EB" w:rsidR="00804541" w:rsidRDefault="00804541" w:rsidP="00804541">
      <w:pPr>
        <w:jc w:val="both"/>
      </w:pPr>
    </w:p>
    <w:p w14:paraId="61EF1311" w14:textId="7D0C13FF" w:rsidR="00804541" w:rsidRDefault="00804541" w:rsidP="00804541">
      <w:pPr>
        <w:jc w:val="both"/>
      </w:pPr>
      <w:r>
        <w:t xml:space="preserve">Im Sinne einer verantwortungsvollen Kontrolle </w:t>
      </w:r>
      <w:r w:rsidR="00251A1C">
        <w:t xml:space="preserve">der </w:t>
      </w:r>
      <w:r w:rsidR="0089061B">
        <w:t xml:space="preserve">finanziellen </w:t>
      </w:r>
      <w:r w:rsidR="00251A1C">
        <w:t>Belastung</w:t>
      </w:r>
      <w:r w:rsidR="001854B2">
        <w:t xml:space="preserve"> </w:t>
      </w:r>
      <w:r w:rsidR="000F498B">
        <w:t xml:space="preserve">unserer </w:t>
      </w:r>
      <w:r w:rsidR="00251A1C">
        <w:t>jeweiligen Haushaltsbudgets</w:t>
      </w:r>
      <w:r>
        <w:t xml:space="preserve"> ersuchen wir um Übermittlung der nachstehenden Informationen und </w:t>
      </w:r>
      <w:r w:rsidR="001854B2">
        <w:t>Kalkulations</w:t>
      </w:r>
      <w:r>
        <w:t>grundlagen</w:t>
      </w:r>
      <w:r w:rsidR="00251A1C">
        <w:t>:</w:t>
      </w:r>
    </w:p>
    <w:p w14:paraId="70A6FD77" w14:textId="5156C148" w:rsidR="00804541" w:rsidRDefault="00804541" w:rsidP="00804541">
      <w:pPr>
        <w:jc w:val="both"/>
      </w:pPr>
    </w:p>
    <w:p w14:paraId="0841B529" w14:textId="642D307B" w:rsidR="00804541" w:rsidRPr="007C3A4B" w:rsidRDefault="00804541" w:rsidP="00804541">
      <w:pPr>
        <w:pStyle w:val="Listenabsatz"/>
        <w:numPr>
          <w:ilvl w:val="0"/>
          <w:numId w:val="2"/>
        </w:numPr>
        <w:jc w:val="both"/>
        <w:rPr>
          <w:b/>
          <w:bCs/>
        </w:rPr>
      </w:pPr>
      <w:r w:rsidRPr="007C3A4B">
        <w:rPr>
          <w:b/>
          <w:bCs/>
        </w:rPr>
        <w:t>Mieterhöhungen iZm den Finanzierungskosten</w:t>
      </w:r>
    </w:p>
    <w:p w14:paraId="34A9D525" w14:textId="33A5A911" w:rsidR="00804541" w:rsidRDefault="00804541" w:rsidP="00804541">
      <w:pPr>
        <w:ind w:left="720"/>
        <w:jc w:val="both"/>
      </w:pPr>
    </w:p>
    <w:p w14:paraId="7553CDB6" w14:textId="22A8BEA6" w:rsidR="00804541" w:rsidRDefault="00804541" w:rsidP="00804541">
      <w:pPr>
        <w:pStyle w:val="Listenabsatz"/>
        <w:numPr>
          <w:ilvl w:val="0"/>
          <w:numId w:val="3"/>
        </w:numPr>
        <w:jc w:val="both"/>
        <w:rPr>
          <w:sz w:val="21"/>
          <w:szCs w:val="21"/>
        </w:rPr>
      </w:pPr>
      <w:r w:rsidRPr="00B1250C">
        <w:rPr>
          <w:sz w:val="21"/>
          <w:szCs w:val="21"/>
        </w:rPr>
        <w:t xml:space="preserve">Mitteilung der nachstehenden </w:t>
      </w:r>
      <w:r w:rsidR="00711E87" w:rsidRPr="00B1250C">
        <w:rPr>
          <w:sz w:val="21"/>
          <w:szCs w:val="21"/>
        </w:rPr>
        <w:t>Daten,</w:t>
      </w:r>
      <w:r w:rsidR="000F498B">
        <w:rPr>
          <w:sz w:val="21"/>
          <w:szCs w:val="21"/>
        </w:rPr>
        <w:t xml:space="preserve"> </w:t>
      </w:r>
      <w:r w:rsidRPr="00B1250C">
        <w:rPr>
          <w:sz w:val="21"/>
          <w:szCs w:val="21"/>
        </w:rPr>
        <w:t>um die Erhöhung der Finanzierungskosten</w:t>
      </w:r>
      <w:r w:rsidR="00B1250C" w:rsidRPr="00B1250C">
        <w:rPr>
          <w:sz w:val="21"/>
          <w:szCs w:val="21"/>
        </w:rPr>
        <w:t xml:space="preserve"> </w:t>
      </w:r>
      <w:r w:rsidR="0086079F">
        <w:rPr>
          <w:sz w:val="21"/>
          <w:szCs w:val="21"/>
        </w:rPr>
        <w:t xml:space="preserve">auch betragsmäßig </w:t>
      </w:r>
      <w:r w:rsidR="00B1250C" w:rsidRPr="00B1250C">
        <w:rPr>
          <w:sz w:val="21"/>
          <w:szCs w:val="21"/>
        </w:rPr>
        <w:t>nachvollziehen zu können:</w:t>
      </w:r>
    </w:p>
    <w:p w14:paraId="0F9AE91D" w14:textId="77777777" w:rsidR="0086079F" w:rsidRPr="0086079F" w:rsidRDefault="0086079F" w:rsidP="0086079F">
      <w:pPr>
        <w:ind w:left="1080"/>
        <w:jc w:val="both"/>
        <w:rPr>
          <w:sz w:val="21"/>
          <w:szCs w:val="21"/>
        </w:rPr>
      </w:pPr>
    </w:p>
    <w:p w14:paraId="144019CC" w14:textId="4DACBCD4" w:rsidR="00B1250C" w:rsidRDefault="00B1250C" w:rsidP="00B1250C">
      <w:pPr>
        <w:pStyle w:val="Listenabsatz"/>
        <w:numPr>
          <w:ilvl w:val="1"/>
          <w:numId w:val="3"/>
        </w:numPr>
        <w:jc w:val="both"/>
        <w:rPr>
          <w:sz w:val="21"/>
          <w:szCs w:val="21"/>
        </w:rPr>
      </w:pPr>
      <w:r w:rsidRPr="00B1250C">
        <w:rPr>
          <w:sz w:val="21"/>
          <w:szCs w:val="21"/>
        </w:rPr>
        <w:t>Bankdarlehen ohne AZ/1 und AZ/2</w:t>
      </w:r>
    </w:p>
    <w:p w14:paraId="76D4FC63" w14:textId="77777777" w:rsidR="00711E87" w:rsidRPr="00B1250C" w:rsidRDefault="00711E87" w:rsidP="00711E87">
      <w:pPr>
        <w:pStyle w:val="Listenabsatz"/>
        <w:ind w:left="2160"/>
        <w:jc w:val="both"/>
        <w:rPr>
          <w:sz w:val="21"/>
          <w:szCs w:val="21"/>
        </w:rPr>
      </w:pPr>
    </w:p>
    <w:p w14:paraId="57B7D49E" w14:textId="2EE86994" w:rsidR="00B1250C" w:rsidRPr="00B1250C" w:rsidRDefault="0086079F" w:rsidP="00B1250C">
      <w:pPr>
        <w:pStyle w:val="Listenabsatz"/>
        <w:numPr>
          <w:ilvl w:val="2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f</w:t>
      </w:r>
      <w:r w:rsidR="00B1250C" w:rsidRPr="00B1250C">
        <w:rPr>
          <w:sz w:val="21"/>
          <w:szCs w:val="21"/>
        </w:rPr>
        <w:t xml:space="preserve">ür die Erhöhung maßgebendes aushaftendes Kapital </w:t>
      </w:r>
      <w:r w:rsidR="0089061B">
        <w:rPr>
          <w:sz w:val="21"/>
          <w:szCs w:val="21"/>
        </w:rPr>
        <w:t xml:space="preserve">der </w:t>
      </w:r>
      <w:r w:rsidR="00B1250C" w:rsidRPr="00B1250C">
        <w:rPr>
          <w:sz w:val="21"/>
          <w:szCs w:val="21"/>
        </w:rPr>
        <w:t>Bankdarlehen ohne AZ/1 und AZ/2</w:t>
      </w:r>
      <w:r>
        <w:rPr>
          <w:sz w:val="21"/>
          <w:szCs w:val="21"/>
        </w:rPr>
        <w:t xml:space="preserve"> </w:t>
      </w:r>
    </w:p>
    <w:p w14:paraId="3FE8351A" w14:textId="00AC47E5" w:rsidR="00B1250C" w:rsidRPr="00B1250C" w:rsidRDefault="00B1250C" w:rsidP="00B1250C">
      <w:pPr>
        <w:pStyle w:val="Listenabsatz"/>
        <w:numPr>
          <w:ilvl w:val="2"/>
          <w:numId w:val="3"/>
        </w:numPr>
        <w:jc w:val="both"/>
        <w:rPr>
          <w:sz w:val="21"/>
          <w:szCs w:val="21"/>
        </w:rPr>
      </w:pPr>
      <w:r w:rsidRPr="00B1250C">
        <w:rPr>
          <w:sz w:val="21"/>
          <w:szCs w:val="21"/>
        </w:rPr>
        <w:t>Kalkulation des maßgebenden Zinssatzes</w:t>
      </w:r>
      <w:r w:rsidR="00552427">
        <w:rPr>
          <w:sz w:val="21"/>
          <w:szCs w:val="21"/>
        </w:rPr>
        <w:t xml:space="preserve"> </w:t>
      </w:r>
    </w:p>
    <w:p w14:paraId="47418A56" w14:textId="4383DE9B" w:rsidR="00B1250C" w:rsidRPr="00B1250C" w:rsidRDefault="00B1250C" w:rsidP="00B1250C">
      <w:pPr>
        <w:pStyle w:val="Listenabsatz"/>
        <w:numPr>
          <w:ilvl w:val="2"/>
          <w:numId w:val="3"/>
        </w:numPr>
        <w:jc w:val="both"/>
        <w:rPr>
          <w:sz w:val="21"/>
          <w:szCs w:val="21"/>
        </w:rPr>
      </w:pPr>
      <w:r w:rsidRPr="00B1250C">
        <w:rPr>
          <w:sz w:val="21"/>
          <w:szCs w:val="21"/>
        </w:rPr>
        <w:t>Aufteilung der Annuität in Kapitaltilgung und Zinskosten</w:t>
      </w:r>
    </w:p>
    <w:p w14:paraId="34FFCBFB" w14:textId="7E0FA39A" w:rsidR="00B1250C" w:rsidRDefault="00B1250C" w:rsidP="00B1250C">
      <w:pPr>
        <w:pStyle w:val="Listenabsatz"/>
        <w:numPr>
          <w:ilvl w:val="2"/>
          <w:numId w:val="3"/>
        </w:numPr>
        <w:jc w:val="both"/>
        <w:rPr>
          <w:sz w:val="21"/>
          <w:szCs w:val="21"/>
        </w:rPr>
      </w:pPr>
      <w:r w:rsidRPr="00B1250C">
        <w:rPr>
          <w:sz w:val="21"/>
          <w:szCs w:val="21"/>
        </w:rPr>
        <w:t>Maßgebender Stichtag der Kalkulation</w:t>
      </w:r>
    </w:p>
    <w:p w14:paraId="39044694" w14:textId="77777777" w:rsidR="0086079F" w:rsidRDefault="0086079F" w:rsidP="0086079F">
      <w:pPr>
        <w:pStyle w:val="Listenabsatz"/>
        <w:ind w:left="3060"/>
        <w:jc w:val="both"/>
        <w:rPr>
          <w:sz w:val="21"/>
          <w:szCs w:val="21"/>
        </w:rPr>
      </w:pPr>
    </w:p>
    <w:p w14:paraId="5768E1DC" w14:textId="63E346F7" w:rsidR="00552427" w:rsidRDefault="00552427" w:rsidP="00552427">
      <w:pPr>
        <w:pStyle w:val="Listenabsatz"/>
        <w:numPr>
          <w:ilvl w:val="1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WBF mit AZ/RZ 1</w:t>
      </w:r>
    </w:p>
    <w:p w14:paraId="21266C3E" w14:textId="77777777" w:rsidR="00711E87" w:rsidRDefault="00711E87" w:rsidP="00711E87">
      <w:pPr>
        <w:pStyle w:val="Listenabsatz"/>
        <w:ind w:left="2160"/>
        <w:jc w:val="both"/>
        <w:rPr>
          <w:sz w:val="21"/>
          <w:szCs w:val="21"/>
        </w:rPr>
      </w:pPr>
    </w:p>
    <w:p w14:paraId="56457791" w14:textId="77777777" w:rsidR="00552427" w:rsidRDefault="00552427" w:rsidP="00552427">
      <w:pPr>
        <w:pStyle w:val="Listenabsatz"/>
        <w:numPr>
          <w:ilvl w:val="2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Gleiche Informationen wie unter Punkt a)</w:t>
      </w:r>
    </w:p>
    <w:p w14:paraId="68557DE1" w14:textId="77777777" w:rsidR="00552427" w:rsidRDefault="00552427" w:rsidP="00552427">
      <w:pPr>
        <w:pStyle w:val="Listenabsatz"/>
        <w:ind w:left="1440"/>
        <w:jc w:val="both"/>
        <w:rPr>
          <w:sz w:val="21"/>
          <w:szCs w:val="21"/>
        </w:rPr>
      </w:pPr>
    </w:p>
    <w:p w14:paraId="42A346E8" w14:textId="682C8768" w:rsidR="00552427" w:rsidRPr="007C3A4B" w:rsidRDefault="00552427" w:rsidP="00552427">
      <w:pPr>
        <w:pStyle w:val="Listenabsatz"/>
        <w:numPr>
          <w:ilvl w:val="0"/>
          <w:numId w:val="5"/>
        </w:numPr>
        <w:jc w:val="both"/>
        <w:rPr>
          <w:b/>
          <w:bCs/>
        </w:rPr>
      </w:pPr>
      <w:r w:rsidRPr="007C3A4B">
        <w:rPr>
          <w:b/>
          <w:bCs/>
        </w:rPr>
        <w:t>Zinsaufschlag von 0,96 %</w:t>
      </w:r>
    </w:p>
    <w:p w14:paraId="78A429AA" w14:textId="13542F9E" w:rsidR="00552427" w:rsidRDefault="00552427" w:rsidP="00552427">
      <w:pPr>
        <w:jc w:val="both"/>
      </w:pPr>
    </w:p>
    <w:p w14:paraId="1FB36EB5" w14:textId="51354537" w:rsidR="00552427" w:rsidRDefault="00A63B9E" w:rsidP="00552427">
      <w:pPr>
        <w:ind w:left="360"/>
        <w:jc w:val="both"/>
      </w:pPr>
      <w:r>
        <w:t xml:space="preserve">Aus Ihrem Schreiben vom 23. Dezember 2022 geht hervor, dass die ursprüngliche Zinsvereinbarung hinsichtlich des Kredits </w:t>
      </w:r>
      <w:r w:rsidR="00FA5662">
        <w:t xml:space="preserve">ohne AZ/1 und AZ/2 (?) mit 30. April 2022 ausgelaufen ist. Daraufhin wurde im ersten Halbjahr 2022 mit dem finanzierenden Bankinstitut eine Zinsvereinbarung mit der Kondition </w:t>
      </w:r>
      <w:r w:rsidR="0089061B">
        <w:t>„</w:t>
      </w:r>
      <w:r w:rsidR="00FA5662">
        <w:t>6-Monat-EURIBOR zuzüglich eines Aufschlages von 0,96%</w:t>
      </w:r>
      <w:r w:rsidR="0089061B">
        <w:t>“</w:t>
      </w:r>
      <w:r w:rsidR="00FA5662">
        <w:t>, gültig bis 30. April 2032</w:t>
      </w:r>
      <w:r w:rsidR="0089061B">
        <w:t>,</w:t>
      </w:r>
      <w:r w:rsidR="00FA5662">
        <w:t xml:space="preserve"> abgeschlossen.</w:t>
      </w:r>
    </w:p>
    <w:p w14:paraId="45FFFBD2" w14:textId="086C773E" w:rsidR="00FA5662" w:rsidRDefault="00FA5662" w:rsidP="00552427">
      <w:pPr>
        <w:ind w:left="360"/>
        <w:jc w:val="both"/>
      </w:pPr>
    </w:p>
    <w:p w14:paraId="72A9B022" w14:textId="31CD1393" w:rsidR="004340FC" w:rsidRDefault="00FA5662" w:rsidP="004340FC">
      <w:pPr>
        <w:ind w:left="360"/>
        <w:jc w:val="both"/>
      </w:pPr>
      <w:r>
        <w:t>Aus den uns vorliegenden Kalkulationsunterlagen, die den Mieter</w:t>
      </w:r>
      <w:r w:rsidR="0089061B">
        <w:t>n</w:t>
      </w:r>
      <w:r>
        <w:t xml:space="preserve"> vor Unterzeichnung des Mietvertrages übermittelt wurde</w:t>
      </w:r>
      <w:r w:rsidR="001854B2">
        <w:t>n</w:t>
      </w:r>
      <w:r>
        <w:t xml:space="preserve">, </w:t>
      </w:r>
      <w:r w:rsidR="002E54E1">
        <w:t>war</w:t>
      </w:r>
      <w:r>
        <w:t xml:space="preserve"> schriftlich </w:t>
      </w:r>
      <w:r w:rsidR="002E54E1">
        <w:t xml:space="preserve">ein </w:t>
      </w:r>
      <w:r>
        <w:t xml:space="preserve">variabler Zinssatz mit Bindung an den </w:t>
      </w:r>
      <w:r w:rsidR="004340FC">
        <w:t xml:space="preserve">Durchschnitt des </w:t>
      </w:r>
      <w:r w:rsidR="0086079F">
        <w:t>„</w:t>
      </w:r>
      <w:r w:rsidR="004340FC">
        <w:t>6-Monats-EURIBOR+SMR Emittenten gesamt</w:t>
      </w:r>
      <w:r w:rsidR="0086079F">
        <w:t>“</w:t>
      </w:r>
      <w:r>
        <w:t xml:space="preserve"> </w:t>
      </w:r>
      <w:r w:rsidR="004340FC">
        <w:t xml:space="preserve">zuzüglich eines </w:t>
      </w:r>
      <w:r>
        <w:t>Zinsaufschlag</w:t>
      </w:r>
      <w:r w:rsidR="004340FC">
        <w:t>s</w:t>
      </w:r>
      <w:r>
        <w:t xml:space="preserve"> von 0,37% </w:t>
      </w:r>
      <w:r w:rsidR="00BD19F7">
        <w:t>vereinbart</w:t>
      </w:r>
      <w:r>
        <w:t>.</w:t>
      </w:r>
      <w:r w:rsidR="004340FC">
        <w:t xml:space="preserve"> Auch im unterfertigten Mietvertrag </w:t>
      </w:r>
      <w:r w:rsidR="0089061B">
        <w:t>war</w:t>
      </w:r>
      <w:r w:rsidR="004340FC">
        <w:t xml:space="preserve"> nicht ersichtlich, dass die zu Beginn des Vertragsverhältnisses fixierten Kreditbedingungen </w:t>
      </w:r>
      <w:r w:rsidR="001854B2">
        <w:t xml:space="preserve">(siehe oben) </w:t>
      </w:r>
      <w:r w:rsidR="004340FC">
        <w:t>sich ändern könnten.</w:t>
      </w:r>
    </w:p>
    <w:p w14:paraId="3B5F44B7" w14:textId="77777777" w:rsidR="004340FC" w:rsidRDefault="004340FC" w:rsidP="004340FC">
      <w:pPr>
        <w:ind w:left="360"/>
        <w:jc w:val="both"/>
      </w:pPr>
    </w:p>
    <w:p w14:paraId="7BB73009" w14:textId="7C7F2180" w:rsidR="004340FC" w:rsidRDefault="004340FC" w:rsidP="004340FC">
      <w:pPr>
        <w:ind w:left="360"/>
        <w:jc w:val="both"/>
      </w:pPr>
      <w:r>
        <w:t>Den Mietern war selbstverständlich bewusst, dass auf Grund des variablen Zinssatzes und der angeführten Zinsbindung zukünftig sowohl Zinssatzsteigerungen als auch Verminde</w:t>
      </w:r>
      <w:r w:rsidR="001854B2">
        <w:t>-</w:t>
      </w:r>
      <w:r>
        <w:t>rungen eintreten könnten.</w:t>
      </w:r>
    </w:p>
    <w:p w14:paraId="40296BA4" w14:textId="77777777" w:rsidR="004340FC" w:rsidRDefault="004340FC" w:rsidP="004340FC">
      <w:pPr>
        <w:ind w:left="360"/>
        <w:jc w:val="both"/>
      </w:pPr>
    </w:p>
    <w:p w14:paraId="3C97FADD" w14:textId="1F233056" w:rsidR="00B91CF6" w:rsidRDefault="004340FC" w:rsidP="004340FC">
      <w:pPr>
        <w:ind w:left="360"/>
        <w:jc w:val="both"/>
      </w:pPr>
      <w:r>
        <w:t>Dagegen hatten die Mieter keine Kenntnis hinsichtlich des nun eingetretenen Umstand</w:t>
      </w:r>
      <w:r w:rsidR="007E045F">
        <w:t>s</w:t>
      </w:r>
      <w:r>
        <w:t>, dass durch das Auslaufen der ursprünglichen Zinsvereinbarung eine Erhöhung des Zinsaufschlages von 0,37% auf 0,96% (Erhöhung um rd 1</w:t>
      </w:r>
      <w:r w:rsidR="005211D4">
        <w:t>6</w:t>
      </w:r>
      <w:r>
        <w:t>0%) ein</w:t>
      </w:r>
      <w:r w:rsidR="0089061B">
        <w:t>ge</w:t>
      </w:r>
      <w:r>
        <w:t xml:space="preserve">treten </w:t>
      </w:r>
      <w:r w:rsidR="0089061B">
        <w:t>ist</w:t>
      </w:r>
      <w:r>
        <w:t>.</w:t>
      </w:r>
      <w:r w:rsidR="001854B2">
        <w:t xml:space="preserve"> Weder in den übermittelten Kalkulationsunterlagen noch </w:t>
      </w:r>
      <w:r w:rsidR="00653642">
        <w:t xml:space="preserve">im unterfertigten Mietvertrag </w:t>
      </w:r>
      <w:r w:rsidR="00B91CF6">
        <w:t xml:space="preserve">ist die oa Erhöhung des Zinsaufschlages offen dokumentiert. Allerdings findet sich im Mietvertrag der Hinweis, dass die Mieter in die vom Vermieter </w:t>
      </w:r>
      <w:r w:rsidR="00866E81">
        <w:t xml:space="preserve">mit den Darlehensgebern </w:t>
      </w:r>
      <w:proofErr w:type="spellStart"/>
      <w:r w:rsidR="00B91CF6">
        <w:t>abge</w:t>
      </w:r>
      <w:r w:rsidR="00866E81">
        <w:t>-</w:t>
      </w:r>
      <w:r w:rsidR="00B91CF6">
        <w:t>schlossenen</w:t>
      </w:r>
      <w:proofErr w:type="spellEnd"/>
      <w:r w:rsidR="00B91CF6">
        <w:t xml:space="preserve"> Darlehens- und Kreditverträge Einsicht </w:t>
      </w:r>
      <w:r w:rsidR="00711E87">
        <w:t>nehmen können</w:t>
      </w:r>
      <w:r w:rsidR="00B91CF6">
        <w:t>.</w:t>
      </w:r>
    </w:p>
    <w:p w14:paraId="177D61B3" w14:textId="77777777" w:rsidR="00B91CF6" w:rsidRDefault="00B91CF6" w:rsidP="004340FC">
      <w:pPr>
        <w:ind w:left="360"/>
        <w:jc w:val="both"/>
      </w:pPr>
    </w:p>
    <w:p w14:paraId="5F176D40" w14:textId="1A5D85A4" w:rsidR="004340FC" w:rsidRDefault="00B91CF6" w:rsidP="004340FC">
      <w:pPr>
        <w:ind w:left="360"/>
        <w:jc w:val="both"/>
      </w:pPr>
      <w:r>
        <w:t>Wir ersuchen daher um Übermittlung der betreffenden Kreditverträge</w:t>
      </w:r>
      <w:r w:rsidR="007E045F">
        <w:t xml:space="preserve"> um festzustellen</w:t>
      </w:r>
      <w:r>
        <w:t xml:space="preserve">, ob die von Ihnen nunmehr angeführten Kreditvereinbarungen, wie </w:t>
      </w:r>
      <w:r w:rsidR="007E045F">
        <w:t xml:space="preserve">das </w:t>
      </w:r>
      <w:r>
        <w:t>Auslaufen der Zins</w:t>
      </w:r>
      <w:r w:rsidR="007E045F">
        <w:t>-</w:t>
      </w:r>
      <w:r>
        <w:t>vereinbarung</w:t>
      </w:r>
      <w:r w:rsidR="005211D4">
        <w:t xml:space="preserve"> </w:t>
      </w:r>
      <w:r>
        <w:t xml:space="preserve">und </w:t>
      </w:r>
      <w:r w:rsidR="007E045F">
        <w:t xml:space="preserve">die </w:t>
      </w:r>
      <w:r>
        <w:t xml:space="preserve">Erhöhung des Zinsaufschlages, im ursprünglichen Darlehens- bzw Kreditvertrag enthalten </w:t>
      </w:r>
      <w:r w:rsidR="007E045F">
        <w:t>sind</w:t>
      </w:r>
      <w:r>
        <w:t>. Waren diese Änderungsmöglichkeiten</w:t>
      </w:r>
      <w:r w:rsidR="00711E87">
        <w:t xml:space="preserve"> in den Kreditver</w:t>
      </w:r>
      <w:r w:rsidR="007E045F">
        <w:t>-</w:t>
      </w:r>
      <w:r w:rsidR="00711E87">
        <w:t>trägen</w:t>
      </w:r>
      <w:r w:rsidR="00253324">
        <w:t xml:space="preserve"> vereinbart, dann nehmen wir </w:t>
      </w:r>
      <w:r w:rsidR="00711E87">
        <w:t>dies nunmehr</w:t>
      </w:r>
      <w:r w:rsidR="00253324">
        <w:t xml:space="preserve"> zur Kenntnis. Wir finden es jedoch befremdlich, dass dies den Mieter</w:t>
      </w:r>
      <w:r w:rsidR="00BD19F7">
        <w:t>n</w:t>
      </w:r>
      <w:r w:rsidR="00253324">
        <w:t>, die wahrlich keine Finanzexperten sind, nicht bei Vertragsbeginn</w:t>
      </w:r>
      <w:r w:rsidR="007E045F">
        <w:t xml:space="preserve"> </w:t>
      </w:r>
      <w:r w:rsidR="00253324">
        <w:t>sowohl in den Kalkulationsunterlagen als auch im Mietvertrag offen kom</w:t>
      </w:r>
      <w:r w:rsidR="007E045F">
        <w:t>-</w:t>
      </w:r>
      <w:r w:rsidR="00253324">
        <w:t>muniziert wurde.</w:t>
      </w:r>
      <w:r>
        <w:t xml:space="preserve"> </w:t>
      </w:r>
    </w:p>
    <w:p w14:paraId="0AB835F2" w14:textId="57FA3CCF" w:rsidR="00253324" w:rsidRDefault="00253324" w:rsidP="004340FC">
      <w:pPr>
        <w:ind w:left="360"/>
        <w:jc w:val="both"/>
      </w:pPr>
    </w:p>
    <w:p w14:paraId="3A90B57C" w14:textId="240226CA" w:rsidR="00804541" w:rsidRDefault="00253324" w:rsidP="00253324">
      <w:pPr>
        <w:ind w:left="360"/>
        <w:jc w:val="both"/>
      </w:pPr>
      <w:r>
        <w:t xml:space="preserve">Sind </w:t>
      </w:r>
      <w:r w:rsidR="00711E87">
        <w:t xml:space="preserve">dagegen </w:t>
      </w:r>
      <w:r>
        <w:t>die oa angeführten Vereinbarungen (Auslaufen der ursprünglichen Zinsver</w:t>
      </w:r>
      <w:r w:rsidR="00711E87">
        <w:t>-</w:t>
      </w:r>
      <w:r>
        <w:t xml:space="preserve">einbarung und Erhöhung des Zinsaufschlages) in den betreffenden Darlehens- und Kreditverträge </w:t>
      </w:r>
      <w:r w:rsidRPr="00711E87">
        <w:rPr>
          <w:b/>
          <w:bCs/>
          <w:u w:val="single"/>
        </w:rPr>
        <w:t>nicht</w:t>
      </w:r>
      <w:r>
        <w:t xml:space="preserve"> enthalten gewesen, so ist es für uns nicht nachvollziehbar, dieses zusätzliche Finanzierungsrisiko zu tragen. Wir ersuchen Sie daher </w:t>
      </w:r>
      <w:r w:rsidR="0089061B">
        <w:t xml:space="preserve">in diesem Fall </w:t>
      </w:r>
      <w:r>
        <w:t xml:space="preserve">bei der Kalkulation des Zinssatzes weiterhin den ursprüngliche Aufschlag </w:t>
      </w:r>
      <w:proofErr w:type="spellStart"/>
      <w:r>
        <w:t>iHv</w:t>
      </w:r>
      <w:proofErr w:type="spellEnd"/>
      <w:r>
        <w:t xml:space="preserve"> 0,37% zu </w:t>
      </w:r>
      <w:proofErr w:type="spellStart"/>
      <w:r>
        <w:t>be</w:t>
      </w:r>
      <w:proofErr w:type="spellEnd"/>
      <w:r w:rsidR="00866E81">
        <w:t>-</w:t>
      </w:r>
      <w:r>
        <w:t xml:space="preserve">rücksichtigen. </w:t>
      </w:r>
      <w:r w:rsidR="00DE3615">
        <w:t xml:space="preserve">Bei Kenntnis dieses zusätzlichen Risikos hätten die Mieter unter Umständen eine andere Entscheidung hinsichtlich der Vertragsunterzeichnung getroffen. </w:t>
      </w:r>
    </w:p>
    <w:p w14:paraId="1CBF4BEA" w14:textId="77777777" w:rsidR="00962F96" w:rsidRDefault="00962F96" w:rsidP="0089061B">
      <w:pPr>
        <w:jc w:val="both"/>
      </w:pPr>
    </w:p>
    <w:p w14:paraId="3B6C4D5B" w14:textId="38372D91" w:rsidR="002E54E1" w:rsidRDefault="007C3A4B" w:rsidP="007C3A4B">
      <w:pPr>
        <w:pStyle w:val="Listenabsatz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lastRenderedPageBreak/>
        <w:t>Aufteilung des Darlehens ohne AZ/1 und AZ/2</w:t>
      </w:r>
    </w:p>
    <w:p w14:paraId="37DBF3CF" w14:textId="49AB871C" w:rsidR="007C3A4B" w:rsidRDefault="007C3A4B" w:rsidP="007C3A4B">
      <w:pPr>
        <w:jc w:val="both"/>
        <w:rPr>
          <w:b/>
          <w:bCs/>
        </w:rPr>
      </w:pPr>
    </w:p>
    <w:p w14:paraId="2EED0DAA" w14:textId="54BA27AF" w:rsidR="00FD7E7A" w:rsidRDefault="007C3A4B" w:rsidP="007C3A4B">
      <w:pPr>
        <w:ind w:left="360"/>
        <w:jc w:val="both"/>
      </w:pPr>
      <w:r>
        <w:t>Bis zum 31. Dezember 2020 wurde für die Mietenvorschreibung</w:t>
      </w:r>
      <w:r w:rsidR="00711E87">
        <w:t>en</w:t>
      </w:r>
      <w:r>
        <w:t xml:space="preserve"> das </w:t>
      </w:r>
      <w:r w:rsidRPr="00BD19F7">
        <w:rPr>
          <w:b/>
          <w:bCs/>
        </w:rPr>
        <w:t xml:space="preserve">Darlehen ohne AZ/1 </w:t>
      </w:r>
      <w:r>
        <w:t xml:space="preserve">herangezogen. Ab der Vorschreibung für das Jahr 2021 wurde dieses Darlehen </w:t>
      </w:r>
      <w:r w:rsidR="00711E87">
        <w:t xml:space="preserve">jedoch </w:t>
      </w:r>
      <w:r>
        <w:t xml:space="preserve">aufgeteilt in </w:t>
      </w:r>
      <w:r w:rsidRPr="00BD19F7">
        <w:rPr>
          <w:b/>
          <w:bCs/>
        </w:rPr>
        <w:t>Darlehen ohne AZ/1 und AZ/2</w:t>
      </w:r>
      <w:r>
        <w:t>. Wir ersuchen um nachträgliche Bekanntgabe des aushaftenden Darlehens AZ/1 zum 31. Dezember 2020 und dessen betragsmäßige Aufteilung zum 1. Jänner 2021 in AZ/1 und AZ/2, sowie jeweils zum</w:t>
      </w:r>
      <w:r w:rsidR="00FD7E7A">
        <w:t xml:space="preserve"> 31. Dezember für die Jahre 2021 und 2022.</w:t>
      </w:r>
    </w:p>
    <w:p w14:paraId="35AA004C" w14:textId="2562B6BB" w:rsidR="00FD7E7A" w:rsidRDefault="00FD7E7A" w:rsidP="007C3A4B">
      <w:pPr>
        <w:ind w:left="360"/>
        <w:jc w:val="both"/>
      </w:pPr>
    </w:p>
    <w:p w14:paraId="5708F9CD" w14:textId="0E640D76" w:rsidR="00FD7E7A" w:rsidRDefault="00FD7E7A" w:rsidP="007C3A4B">
      <w:pPr>
        <w:ind w:left="360"/>
        <w:jc w:val="both"/>
      </w:pPr>
    </w:p>
    <w:p w14:paraId="2F650F22" w14:textId="77777777" w:rsidR="00FD7E7A" w:rsidRDefault="00FD7E7A" w:rsidP="007C3A4B">
      <w:pPr>
        <w:ind w:left="360"/>
        <w:jc w:val="both"/>
      </w:pPr>
    </w:p>
    <w:p w14:paraId="21A0DCC2" w14:textId="7F035B8A" w:rsidR="00FD7E7A" w:rsidRDefault="006A7440" w:rsidP="006A7440">
      <w:pPr>
        <w:pStyle w:val="Listenabsatz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Zusammenfassung</w:t>
      </w:r>
    </w:p>
    <w:p w14:paraId="3EDBB41F" w14:textId="1BD412A6" w:rsidR="00BD19F7" w:rsidRDefault="00BD19F7" w:rsidP="00BD19F7">
      <w:pPr>
        <w:jc w:val="both"/>
        <w:rPr>
          <w:b/>
          <w:bCs/>
        </w:rPr>
      </w:pPr>
    </w:p>
    <w:p w14:paraId="3BB4A263" w14:textId="78246305" w:rsidR="00356213" w:rsidRDefault="00356213" w:rsidP="00BD19F7">
      <w:pPr>
        <w:ind w:left="360"/>
        <w:jc w:val="both"/>
      </w:pPr>
      <w:r>
        <w:t>Am 16. Dezember 2020 hat der Aufsichtsrat der Gemeinnützigen Wohn- und Siedlungs</w:t>
      </w:r>
      <w:r w:rsidR="00FD0F05">
        <w:t>-</w:t>
      </w:r>
      <w:r>
        <w:t xml:space="preserve">gesellschaft Schönere Zukunft GesmbH die Anerkennung des Corporate </w:t>
      </w:r>
      <w:proofErr w:type="spellStart"/>
      <w:r>
        <w:t>Governance</w:t>
      </w:r>
      <w:proofErr w:type="spellEnd"/>
      <w:r>
        <w:t xml:space="preserve"> Kodex </w:t>
      </w:r>
      <w:r w:rsidR="00FD0F05">
        <w:t xml:space="preserve">für gemeinnützige Bauvereinigungen </w:t>
      </w:r>
      <w:r>
        <w:t>(kurz: GBV-CGK) beschlossen.</w:t>
      </w:r>
    </w:p>
    <w:p w14:paraId="2C5C2198" w14:textId="77777777" w:rsidR="00356213" w:rsidRDefault="00356213" w:rsidP="00BD19F7">
      <w:pPr>
        <w:ind w:left="360"/>
        <w:jc w:val="both"/>
      </w:pPr>
    </w:p>
    <w:p w14:paraId="498104BC" w14:textId="77777777" w:rsidR="00DE0686" w:rsidRDefault="00356213" w:rsidP="00BD19F7">
      <w:pPr>
        <w:ind w:left="360"/>
        <w:jc w:val="both"/>
      </w:pPr>
      <w:r>
        <w:t xml:space="preserve">Der GBV-CGK </w:t>
      </w:r>
      <w:r w:rsidR="00DE0686">
        <w:t>soll zu mehr Transparenz beitragen und das Vertrauen der Öffentlichkeit in die Leitung und Überwachung der gemeinnützigen Bauvereinigungen fördern.</w:t>
      </w:r>
    </w:p>
    <w:p w14:paraId="03B86FE6" w14:textId="77777777" w:rsidR="00DE0686" w:rsidRDefault="00DE0686" w:rsidP="00BD19F7">
      <w:pPr>
        <w:ind w:left="360"/>
        <w:jc w:val="both"/>
      </w:pPr>
    </w:p>
    <w:p w14:paraId="31DC29EC" w14:textId="2E624B34" w:rsidR="00BD19F7" w:rsidRDefault="00DE0686" w:rsidP="00BD19F7">
      <w:pPr>
        <w:ind w:left="360"/>
        <w:jc w:val="both"/>
      </w:pPr>
      <w:r>
        <w:t xml:space="preserve">Auf Basis dieses Regelwerkes, zu dessen Einhaltung </w:t>
      </w:r>
      <w:r w:rsidR="0089061B">
        <w:t>S</w:t>
      </w:r>
      <w:r>
        <w:t xml:space="preserve">ie sich verpflichtet haben, erwarten wir eine offene Kommunikation mit Ihnen über die oa Fragen (Punkte 1. </w:t>
      </w:r>
      <w:r w:rsidR="0089061B">
        <w:t>b</w:t>
      </w:r>
      <w:r>
        <w:t>is 3.). Wir hoffen, dass</w:t>
      </w:r>
      <w:r w:rsidR="007E045F">
        <w:t xml:space="preserve"> </w:t>
      </w:r>
      <w:r>
        <w:t>entsprechend dem GBV-CGK jene Transparenz erreicht werden kann, die das Ver</w:t>
      </w:r>
      <w:r w:rsidR="00FD0F05">
        <w:t>-</w:t>
      </w:r>
      <w:r>
        <w:t xml:space="preserve">trauen der Mieter in Ihre Gesellschaft </w:t>
      </w:r>
      <w:r w:rsidR="00FD0F05">
        <w:t>stärkt</w:t>
      </w:r>
      <w:r>
        <w:t>.</w:t>
      </w:r>
    </w:p>
    <w:p w14:paraId="00E4648C" w14:textId="16B47728" w:rsidR="00DE0686" w:rsidRDefault="00DE0686" w:rsidP="00BD19F7">
      <w:pPr>
        <w:ind w:left="360"/>
        <w:jc w:val="both"/>
      </w:pPr>
    </w:p>
    <w:p w14:paraId="244BFD7E" w14:textId="77777777" w:rsidR="00FD0F05" w:rsidRDefault="00FD0F05" w:rsidP="00BD19F7">
      <w:pPr>
        <w:ind w:left="360"/>
        <w:jc w:val="both"/>
      </w:pPr>
    </w:p>
    <w:p w14:paraId="648CA0B0" w14:textId="441F41F3" w:rsidR="00DE0686" w:rsidRDefault="00FD0F05" w:rsidP="00FD0F05">
      <w:pPr>
        <w:ind w:left="360"/>
      </w:pPr>
      <w:r>
        <w:t>Mit freundlichen Grüßen</w:t>
      </w:r>
    </w:p>
    <w:p w14:paraId="26FD3218" w14:textId="7B7DD627" w:rsidR="006A7440" w:rsidRDefault="006A7440" w:rsidP="006A7440">
      <w:pPr>
        <w:jc w:val="both"/>
        <w:rPr>
          <w:b/>
          <w:bCs/>
        </w:rPr>
      </w:pPr>
    </w:p>
    <w:p w14:paraId="34340CBC" w14:textId="77777777" w:rsidR="00FD0F05" w:rsidRPr="00FD0F05" w:rsidRDefault="00FD0F05" w:rsidP="00FD0F05">
      <w:pPr>
        <w:ind w:left="360"/>
      </w:pPr>
      <w:r w:rsidRPr="00FD0F05">
        <w:t>Mieter der Wohnhausanlage</w:t>
      </w:r>
    </w:p>
    <w:p w14:paraId="4BD967C1" w14:textId="77777777" w:rsidR="00FD0F05" w:rsidRPr="00FD0F05" w:rsidRDefault="00FD0F05" w:rsidP="00FD0F05">
      <w:pPr>
        <w:ind w:left="360"/>
      </w:pPr>
      <w:r w:rsidRPr="00FD0F05">
        <w:t>Erzherzog Rainer-Gasse 5-7</w:t>
      </w:r>
    </w:p>
    <w:p w14:paraId="6E6E40AF" w14:textId="77777777" w:rsidR="00FD0F05" w:rsidRPr="003E7583" w:rsidRDefault="00FD0F05" w:rsidP="00FD0F05">
      <w:pPr>
        <w:ind w:left="360"/>
        <w:rPr>
          <w:b/>
          <w:bCs/>
        </w:rPr>
      </w:pPr>
      <w:r w:rsidRPr="00FD0F05">
        <w:t>3400 Klosterneuburg</w:t>
      </w:r>
    </w:p>
    <w:p w14:paraId="258D8091" w14:textId="4D6FD309" w:rsidR="006A7440" w:rsidRPr="006A7440" w:rsidRDefault="006A7440" w:rsidP="00FD0F05">
      <w:pPr>
        <w:ind w:left="360"/>
        <w:jc w:val="center"/>
      </w:pPr>
    </w:p>
    <w:p w14:paraId="456DEE7B" w14:textId="77777777" w:rsidR="00FD7E7A" w:rsidRPr="00FD7E7A" w:rsidRDefault="00FD7E7A" w:rsidP="00FD7E7A">
      <w:pPr>
        <w:jc w:val="both"/>
        <w:rPr>
          <w:b/>
          <w:bCs/>
        </w:rPr>
      </w:pPr>
    </w:p>
    <w:p w14:paraId="72BE82B9" w14:textId="77777777" w:rsidR="002E54E1" w:rsidRDefault="002E54E1" w:rsidP="002E54E1">
      <w:pPr>
        <w:ind w:left="360"/>
        <w:jc w:val="both"/>
      </w:pPr>
    </w:p>
    <w:p w14:paraId="4CEF552F" w14:textId="14A3B9DA" w:rsidR="002E54E1" w:rsidRDefault="002E54E1" w:rsidP="002E54E1">
      <w:pPr>
        <w:ind w:left="360"/>
        <w:jc w:val="both"/>
      </w:pPr>
    </w:p>
    <w:p w14:paraId="681DA880" w14:textId="77777777" w:rsidR="002E54E1" w:rsidRPr="00B1250C" w:rsidRDefault="002E54E1" w:rsidP="002E54E1">
      <w:pPr>
        <w:ind w:left="360"/>
        <w:jc w:val="both"/>
        <w:rPr>
          <w:sz w:val="21"/>
          <w:szCs w:val="21"/>
        </w:rPr>
      </w:pPr>
    </w:p>
    <w:p w14:paraId="7A4CDEBB" w14:textId="77777777" w:rsidR="00804541" w:rsidRDefault="00804541" w:rsidP="00804541">
      <w:pPr>
        <w:jc w:val="both"/>
      </w:pPr>
    </w:p>
    <w:p w14:paraId="2300078D" w14:textId="77777777" w:rsidR="00832AE6" w:rsidRDefault="00832AE6"/>
    <w:p w14:paraId="1D696B38" w14:textId="3C0B9280" w:rsidR="003E7583" w:rsidRPr="003E7583" w:rsidRDefault="0074306A">
      <w:r>
        <w:t xml:space="preserve"> </w:t>
      </w:r>
      <w:r w:rsidR="009F5481">
        <w:t xml:space="preserve"> </w:t>
      </w:r>
    </w:p>
    <w:p w14:paraId="168EE316" w14:textId="77777777" w:rsidR="003E7583" w:rsidRPr="003E7583" w:rsidRDefault="003E7583">
      <w:pPr>
        <w:rPr>
          <w:u w:val="single"/>
        </w:rPr>
      </w:pPr>
    </w:p>
    <w:sectPr w:rsidR="003E7583" w:rsidRPr="003E75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8AD5" w14:textId="77777777" w:rsidR="00A2037B" w:rsidRDefault="00A2037B" w:rsidP="00A2037B">
      <w:r>
        <w:separator/>
      </w:r>
    </w:p>
  </w:endnote>
  <w:endnote w:type="continuationSeparator" w:id="0">
    <w:p w14:paraId="18080613" w14:textId="77777777" w:rsidR="00A2037B" w:rsidRDefault="00A2037B" w:rsidP="00A2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C8F0" w14:textId="77777777" w:rsidR="00A2037B" w:rsidRDefault="00A2037B" w:rsidP="00A2037B">
      <w:r>
        <w:separator/>
      </w:r>
    </w:p>
  </w:footnote>
  <w:footnote w:type="continuationSeparator" w:id="0">
    <w:p w14:paraId="7F38B6B9" w14:textId="77777777" w:rsidR="00A2037B" w:rsidRDefault="00A2037B" w:rsidP="00A20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DEA"/>
    <w:multiLevelType w:val="hybridMultilevel"/>
    <w:tmpl w:val="159202F8"/>
    <w:lvl w:ilvl="0" w:tplc="0F9E92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8B9"/>
    <w:multiLevelType w:val="hybridMultilevel"/>
    <w:tmpl w:val="A96C15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65EA5"/>
    <w:multiLevelType w:val="hybridMultilevel"/>
    <w:tmpl w:val="59242C7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B">
      <w:start w:val="1"/>
      <w:numFmt w:val="lowerRoman"/>
      <w:lvlText w:val="%2."/>
      <w:lvlJc w:val="right"/>
      <w:pPr>
        <w:ind w:left="2160" w:hanging="360"/>
      </w:pPr>
    </w:lvl>
    <w:lvl w:ilvl="2" w:tplc="0407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A66C3C"/>
    <w:multiLevelType w:val="hybridMultilevel"/>
    <w:tmpl w:val="1B6A2C1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850FA"/>
    <w:multiLevelType w:val="hybridMultilevel"/>
    <w:tmpl w:val="C878537C"/>
    <w:lvl w:ilvl="0" w:tplc="AC2CAB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32BC0"/>
    <w:multiLevelType w:val="hybridMultilevel"/>
    <w:tmpl w:val="1A9882A8"/>
    <w:lvl w:ilvl="0" w:tplc="E4CAA9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12CD4"/>
    <w:multiLevelType w:val="hybridMultilevel"/>
    <w:tmpl w:val="F9548E58"/>
    <w:lvl w:ilvl="0" w:tplc="9E8AC1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21A84"/>
    <w:multiLevelType w:val="hybridMultilevel"/>
    <w:tmpl w:val="C5D06A16"/>
    <w:lvl w:ilvl="0" w:tplc="ACEEC342">
      <w:start w:val="2"/>
      <w:numFmt w:val="ordinal"/>
      <w:lvlText w:val="%1."/>
      <w:lvlJc w:val="righ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27" w:hanging="360"/>
      </w:pPr>
    </w:lvl>
    <w:lvl w:ilvl="2" w:tplc="0407001B" w:tentative="1">
      <w:start w:val="1"/>
      <w:numFmt w:val="lowerRoman"/>
      <w:lvlText w:val="%3."/>
      <w:lvlJc w:val="right"/>
      <w:pPr>
        <w:ind w:left="1747" w:hanging="180"/>
      </w:pPr>
    </w:lvl>
    <w:lvl w:ilvl="3" w:tplc="0407000F" w:tentative="1">
      <w:start w:val="1"/>
      <w:numFmt w:val="decimal"/>
      <w:lvlText w:val="%4."/>
      <w:lvlJc w:val="left"/>
      <w:pPr>
        <w:ind w:left="2467" w:hanging="360"/>
      </w:pPr>
    </w:lvl>
    <w:lvl w:ilvl="4" w:tplc="04070019" w:tentative="1">
      <w:start w:val="1"/>
      <w:numFmt w:val="lowerLetter"/>
      <w:lvlText w:val="%5."/>
      <w:lvlJc w:val="left"/>
      <w:pPr>
        <w:ind w:left="3187" w:hanging="360"/>
      </w:pPr>
    </w:lvl>
    <w:lvl w:ilvl="5" w:tplc="0407001B" w:tentative="1">
      <w:start w:val="1"/>
      <w:numFmt w:val="lowerRoman"/>
      <w:lvlText w:val="%6."/>
      <w:lvlJc w:val="right"/>
      <w:pPr>
        <w:ind w:left="3907" w:hanging="180"/>
      </w:pPr>
    </w:lvl>
    <w:lvl w:ilvl="6" w:tplc="0407000F" w:tentative="1">
      <w:start w:val="1"/>
      <w:numFmt w:val="decimal"/>
      <w:lvlText w:val="%7."/>
      <w:lvlJc w:val="left"/>
      <w:pPr>
        <w:ind w:left="4627" w:hanging="360"/>
      </w:pPr>
    </w:lvl>
    <w:lvl w:ilvl="7" w:tplc="04070019" w:tentative="1">
      <w:start w:val="1"/>
      <w:numFmt w:val="lowerLetter"/>
      <w:lvlText w:val="%8."/>
      <w:lvlJc w:val="left"/>
      <w:pPr>
        <w:ind w:left="5347" w:hanging="360"/>
      </w:pPr>
    </w:lvl>
    <w:lvl w:ilvl="8" w:tplc="0407001B" w:tentative="1">
      <w:start w:val="1"/>
      <w:numFmt w:val="lowerRoman"/>
      <w:lvlText w:val="%9."/>
      <w:lvlJc w:val="right"/>
      <w:pPr>
        <w:ind w:left="606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83"/>
    <w:rsid w:val="000D472A"/>
    <w:rsid w:val="000F498B"/>
    <w:rsid w:val="001854B2"/>
    <w:rsid w:val="00251A1C"/>
    <w:rsid w:val="00253324"/>
    <w:rsid w:val="002E54E1"/>
    <w:rsid w:val="00356213"/>
    <w:rsid w:val="003E7583"/>
    <w:rsid w:val="004340FC"/>
    <w:rsid w:val="005211D4"/>
    <w:rsid w:val="00552427"/>
    <w:rsid w:val="00653642"/>
    <w:rsid w:val="006A7440"/>
    <w:rsid w:val="00711E87"/>
    <w:rsid w:val="0074306A"/>
    <w:rsid w:val="007C3A4B"/>
    <w:rsid w:val="007E045F"/>
    <w:rsid w:val="00804541"/>
    <w:rsid w:val="00832AE6"/>
    <w:rsid w:val="0086079F"/>
    <w:rsid w:val="00866E81"/>
    <w:rsid w:val="0089061B"/>
    <w:rsid w:val="00962F96"/>
    <w:rsid w:val="009F5481"/>
    <w:rsid w:val="00A2037B"/>
    <w:rsid w:val="00A63B9E"/>
    <w:rsid w:val="00B1250C"/>
    <w:rsid w:val="00B91CF6"/>
    <w:rsid w:val="00BD19F7"/>
    <w:rsid w:val="00DE0686"/>
    <w:rsid w:val="00DE3615"/>
    <w:rsid w:val="00FA5662"/>
    <w:rsid w:val="00FD0F05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6FFB6E"/>
  <w15:chartTrackingRefBased/>
  <w15:docId w15:val="{57649413-6352-9D4E-9993-7DF12AF3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5112</Characters>
  <Application>Microsoft Office Word</Application>
  <DocSecurity>4</DocSecurity>
  <Lines>137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Podoschek</dc:creator>
  <cp:keywords/>
  <dc:description/>
  <cp:lastModifiedBy>Primetzhofer Alexandra 0663 EH</cp:lastModifiedBy>
  <cp:revision>2</cp:revision>
  <cp:lastPrinted>2023-01-08T19:55:00Z</cp:lastPrinted>
  <dcterms:created xsi:type="dcterms:W3CDTF">2023-01-10T07:48:00Z</dcterms:created>
  <dcterms:modified xsi:type="dcterms:W3CDTF">2023-01-10T07:48:00Z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2023-01-10T07:40:12Z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f60e32bc-37bd-4ff9-8bb9-52a289c5b034</vt:lpwstr>
  </property>
  <property fmtid="{D5CDD505-2E9C-101B-9397-08002B2CF9AE}" pid="8" name="MSIP_Label_38939b85-7e40-4a1d-91e1-0e84c3b219d7_ContentBits">
    <vt:lpwstr>0</vt:lpwstr>
  </property>
</Properties>
</file>