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Context CI: A Threat Taxonomy and Static-Validation Pipeline</w:t>
      </w:r>
      <w:r>
        <w:br/>
      </w:r>
      <w:r>
        <w:t xml:space="preserve">for the Agent-Context Supply Chain</w:t>
      </w:r>
    </w:p>
    <w:p>
      <w:pPr>
        <w:pStyle w:val="Author"/>
      </w:pPr>
    </w:p>
    <w:p>
      <w:pPr>
        <w:pStyle w:val="AbstractTitle"/>
      </w:pPr>
      <w:r>
        <w:t xml:space="preserve">Abstract</w:t>
      </w:r>
    </w:p>
    <w:p>
      <w:pPr>
        <w:pStyle w:val="Abstract"/>
      </w:pPr>
      <w:r>
        <w:t xml:space="preserve">AI agents load a new class of supply-chain artifact:</w:t>
      </w:r>
      <w:r>
        <w:t xml:space="preserve"> </w:t>
      </w:r>
      <w:r>
        <w:rPr>
          <w:i/>
          <w:iCs/>
        </w:rPr>
        <w:t xml:space="preserve">context</w:t>
      </w:r>
      <w:r>
        <w:rPr>
          <w:i/>
          <w:iCs/>
        </w:rPr>
        <w:t xml:space="preserve"> </w:t>
      </w:r>
      <w:r>
        <w:rPr>
          <w:i/>
          <w:iCs/>
        </w:rPr>
        <w:t xml:space="preserve">primitives</w:t>
      </w:r>
      <w:r>
        <w:t xml:space="preserve">, the skills, system-prompt fragments, MCP server</w:t>
      </w:r>
      <w:r>
        <w:t xml:space="preserve"> </w:t>
      </w:r>
      <w:r>
        <w:t xml:space="preserve">descriptions, and</w:t>
      </w:r>
      <w:r>
        <w:t xml:space="preserve"> </w:t>
      </w:r>
      <w:r>
        <w:rPr>
          <w:rStyle w:val="VerbatimChar"/>
        </w:rPr>
        <w:t xml:space="preserve">AGENTS.md</w:t>
      </w:r>
      <w:r>
        <w:t xml:space="preserve"> </w:t>
      </w:r>
      <w:r>
        <w:t xml:space="preserve">files that an agent reads as</w:t>
      </w:r>
      <w:r>
        <w:t xml:space="preserve"> </w:t>
      </w:r>
      <w:r>
        <w:t xml:space="preserve">instruction at load time. Established controls (SLSA, in-toto,</w:t>
      </w:r>
      <w:r>
        <w:t xml:space="preserve"> </w:t>
      </w:r>
      <w:r>
        <w:t xml:space="preserve">Sigstore, package-manager provenance) verify who produced an artifact</w:t>
      </w:r>
      <w:r>
        <w:t xml:space="preserve"> </w:t>
      </w:r>
      <w:r>
        <w:t xml:space="preserve">and that its bytes are unchanged since signing. None verify that the</w:t>
      </w:r>
      <w:r>
        <w:t xml:space="preserve"> </w:t>
      </w:r>
      <w:r>
        <w:t xml:space="preserve">prose, once interpreted as instruction, is safe to follow. A primitive</w:t>
      </w:r>
      <w:r>
        <w:t xml:space="preserve"> </w:t>
      </w:r>
      <w:r>
        <w:t xml:space="preserve">can pass every cryptographic check and still tell the agent to pipe a</w:t>
      </w:r>
      <w:r>
        <w:t xml:space="preserve"> </w:t>
      </w:r>
      <w:r>
        <w:t xml:space="preserve">remote script into a shell.</w:t>
      </w:r>
      <w:r>
        <w:t xml:space="preserve"> </w:t>
      </w:r>
      <w:r>
        <w:t xml:space="preserve">We present PrimitiveHub, a registry and static-analysis pipeline that</w:t>
      </w:r>
      <w:r>
        <w:t xml:space="preserve"> </w:t>
      </w:r>
      <w:r>
        <w:t xml:space="preserve">adds this missing layer. The pipeline scans each primitive against a</w:t>
      </w:r>
      <w:r>
        <w:t xml:space="preserve"> </w:t>
      </w:r>
      <w:r>
        <w:t xml:space="preserve">ten-category taxonomy, the Context CI Top 10, before it enters the</w:t>
      </w:r>
      <w:r>
        <w:t xml:space="preserve"> </w:t>
      </w:r>
      <w:r>
        <w:t xml:space="preserve">registry. Two independent engines (Python and TypeScript) run the same</w:t>
      </w:r>
      <w:r>
        <w:t xml:space="preserve"> </w:t>
      </w:r>
      <w:r>
        <w:t xml:space="preserve">detectors against a shared corpus of 124 labeled samples (99 in-sample,</w:t>
      </w:r>
      <w:r>
        <w:t xml:space="preserve"> </w:t>
      </w:r>
      <w:r>
        <w:t xml:space="preserve">25 held out), and a regression gate forbids cross-language drift on the</w:t>
      </w:r>
      <w:r>
        <w:t xml:space="preserve"> </w:t>
      </w:r>
      <w:r>
        <w:t xml:space="preserve">in-sample slice. On that slice the detectors reach a macro</w:t>
      </w:r>
      <w:r>
        <w:t xml:space="preserve"> </w:t>
      </w:r>
      <w:r>
        <w:t xml:space="preserve">F</w:t>
      </w:r>
      <w:r>
        <w:rPr>
          <w:vertAlign w:val="subscript"/>
        </w:rPr>
        <w:t xml:space="preserve">1</w:t>
      </w:r>
      <w:r>
        <w:t xml:space="preserve"> </w:t>
      </w:r>
      <w:r>
        <w:t xml:space="preserve">of 0.991. The held-out slice, which the gate</w:t>
      </w:r>
      <w:r>
        <w:t xml:space="preserve"> </w:t>
      </w:r>
      <w:r>
        <w:t xml:space="preserve">deliberately does not optimize against, exposes a real generalization</w:t>
      </w:r>
      <w:r>
        <w:t xml:space="preserve"> </w:t>
      </w:r>
      <w:r>
        <w:t xml:space="preserve">gap: the Python engine recovers all 25 held-out attacks, the TypeScript</w:t>
      </w:r>
      <w:r>
        <w:t xml:space="preserve"> </w:t>
      </w:r>
      <w:r>
        <w:t xml:space="preserve">port recovers 18, for a macro recall of 0.832. We report that gap</w:t>
      </w:r>
      <w:r>
        <w:t xml:space="preserve"> </w:t>
      </w:r>
      <w:r>
        <w:t xml:space="preserve">rather than tune it away: it is what a held-out overfitting diagnostic is</w:t>
      </w:r>
      <w:r>
        <w:t xml:space="preserve"> </w:t>
      </w:r>
      <w:r>
        <w:t xml:space="preserve">built to surface. The corpus, detectors, gate, and a</w:t>
      </w:r>
      <w:r>
        <w:t xml:space="preserve"> </w:t>
      </w:r>
      <w:r>
        <w:t xml:space="preserve">per-sample replay tool are open source and reproducible from a clean</w:t>
      </w:r>
      <w:r>
        <w:t xml:space="preserve"> </w:t>
      </w:r>
      <w:r>
        <w:t xml:space="preserve">clone.</w:t>
      </w:r>
    </w:p>
    <w:p>
      <w:pPr>
        <w:pStyle w:val="FirstParagraph"/>
      </w:pPr>
      <w:r>
        <w:t xml:space="preserve">supply-chain security, prompt injection, AI agents, static analysis,</w:t>
      </w:r>
      <w:r>
        <w:t xml:space="preserve"> </w:t>
      </w:r>
      <w:r>
        <w:t xml:space="preserve">software provenance, model context protocol</w:t>
      </w:r>
    </w:p>
    <w:bookmarkStart w:id="18" w:name="sec:intro"/>
    <w:p>
      <w:pPr>
        <w:pStyle w:val="Heading1"/>
      </w:pPr>
      <w:r>
        <w:t xml:space="preserve">Introduction</w:t>
      </w:r>
    </w:p>
    <w:bookmarkStart w:id="9" w:name="subsec:shift"/>
    <w:p>
      <w:pPr>
        <w:pStyle w:val="Heading2"/>
      </w:pPr>
      <w:r>
        <w:t xml:space="preserve">A supply chain the build pipeline does not cover</w:t>
      </w:r>
    </w:p>
    <w:p>
      <w:pPr>
        <w:pStyle w:val="FirstParagraph"/>
      </w:pPr>
      <w:r>
        <w:t xml:space="preserve">The last decade of supply-chain security invested in the build</w:t>
      </w:r>
      <w:r>
        <w:t xml:space="preserve"> </w:t>
      </w:r>
      <w:r>
        <w:t xml:space="preserve">pipeline. SLSA </w:t>
      </w:r>
      <w:r>
        <w:t xml:space="preserve">[1]</w:t>
      </w:r>
      <w:r>
        <w:t xml:space="preserve">,</w:t>
      </w:r>
      <w:r>
        <w:t xml:space="preserve"> </w:t>
      </w:r>
      <w:r>
        <w:t xml:space="preserve">in-toto </w:t>
      </w:r>
      <w:r>
        <w:t xml:space="preserve">[2]</w:t>
      </w:r>
      <w:r>
        <w:t xml:space="preserve">,</w:t>
      </w:r>
      <w:r>
        <w:t xml:space="preserve"> </w:t>
      </w:r>
      <w:r>
        <w:t xml:space="preserve">Sigstore </w:t>
      </w:r>
      <w:r>
        <w:t xml:space="preserve">[3]</w:t>
      </w:r>
      <w:r>
        <w:t xml:space="preserve">, and the</w:t>
      </w:r>
      <w:r>
        <w:t xml:space="preserve"> </w:t>
      </w:r>
      <w:r>
        <w:t xml:space="preserve">provenance work shipped by npm, PyPI, and Maven Central give a</w:t>
      </w:r>
      <w:r>
        <w:t xml:space="preserve"> </w:t>
      </w:r>
      <w:r>
        <w:t xml:space="preserve">consumer a verifiable chain from source commit to signed artifact.</w:t>
      </w:r>
      <w:r>
        <w:t xml:space="preserve"> </w:t>
      </w:r>
      <w:r>
        <w:t xml:space="preserve">That chain answers two questions: who built this, and is the artifact</w:t>
      </w:r>
      <w:r>
        <w:t xml:space="preserve"> </w:t>
      </w:r>
      <w:r>
        <w:t xml:space="preserve">on disk the one that was signed? Both have been load-bearing in</w:t>
      </w:r>
      <w:r>
        <w:t xml:space="preserve"> </w:t>
      </w:r>
      <w:r>
        <w:t xml:space="preserve">incident response, from the SolarWinds Orion</w:t>
      </w:r>
      <w:r>
        <w:t xml:space="preserve"> </w:t>
      </w:r>
      <w:r>
        <w:t xml:space="preserve">breach </w:t>
      </w:r>
      <w:r>
        <w:t xml:space="preserve">[4]</w:t>
      </w:r>
      <w:r>
        <w:t xml:space="preserve"> </w:t>
      </w:r>
      <w:r>
        <w:t xml:space="preserve">and the Codecov bash-uploader</w:t>
      </w:r>
      <w:r>
        <w:t xml:space="preserve"> </w:t>
      </w:r>
      <w:r>
        <w:t xml:space="preserve">compromise </w:t>
      </w:r>
      <w:r>
        <w:t xml:space="preserve">[5]</w:t>
      </w:r>
      <w:r>
        <w:t xml:space="preserve"> </w:t>
      </w:r>
      <w:r>
        <w:t xml:space="preserve">to the</w:t>
      </w:r>
      <w:r>
        <w:t xml:space="preserve"> </w:t>
      </w:r>
      <w:r>
        <w:rPr>
          <w:rStyle w:val="VerbatimChar"/>
        </w:rPr>
        <w:t xml:space="preserve">ua-parser-js</w:t>
      </w:r>
      <w:r>
        <w:t xml:space="preserve"> </w:t>
      </w:r>
      <w:r>
        <w:t xml:space="preserve">typosquat </w:t>
      </w:r>
      <w:r>
        <w:t xml:space="preserve">[6]</w:t>
      </w:r>
      <w:r>
        <w:t xml:space="preserve">,</w:t>
      </w:r>
      <w:r>
        <w:t xml:space="preserve"> </w:t>
      </w:r>
      <w:r>
        <w:t xml:space="preserve">the</w:t>
      </w:r>
      <w:r>
        <w:t xml:space="preserve"> </w:t>
      </w:r>
      <w:r>
        <w:rPr>
          <w:rStyle w:val="VerbatimChar"/>
        </w:rPr>
        <w:t xml:space="preserve">eslint-config-prettier</w:t>
      </w:r>
      <w:r>
        <w:t xml:space="preserve"> </w:t>
      </w:r>
      <w:r>
        <w:t xml:space="preserve">maintainer-account</w:t>
      </w:r>
      <w:r>
        <w:t xml:space="preserve"> </w:t>
      </w:r>
      <w:r>
        <w:t xml:space="preserve">breach </w:t>
      </w:r>
      <w:r>
        <w:t xml:space="preserve">[7]</w:t>
      </w:r>
      <w:r>
        <w:t xml:space="preserve">, the</w:t>
      </w:r>
      <w:r>
        <w:t xml:space="preserve"> </w:t>
      </w:r>
      <w:r>
        <w:rPr>
          <w:rStyle w:val="VerbatimChar"/>
        </w:rPr>
        <w:t xml:space="preserve">xz-utils</w:t>
      </w:r>
      <w:r>
        <w:t xml:space="preserve"> </w:t>
      </w:r>
      <w:r>
        <w:t xml:space="preserve">backdoor (CVE-2024-3094) </w:t>
      </w:r>
      <w:r>
        <w:t xml:space="preserve">[8]</w:t>
      </w:r>
      <w:r>
        <w:t xml:space="preserve">,</w:t>
      </w:r>
      <w:r>
        <w:t xml:space="preserve"> </w:t>
      </w:r>
      <w:r>
        <w:t xml:space="preserve">and the 2025 Shai-Hulud npm worm that spread through</w:t>
      </w:r>
      <w:r>
        <w:t xml:space="preserve"> </w:t>
      </w:r>
      <w:r>
        <w:rPr>
          <w:rStyle w:val="VerbatimChar"/>
        </w:rPr>
        <w:t xml:space="preserve">postinstall</w:t>
      </w:r>
      <w:r>
        <w:t xml:space="preserve"> </w:t>
      </w:r>
      <w:r>
        <w:t xml:space="preserve">hooks on typosquatted</w:t>
      </w:r>
      <w:r>
        <w:t xml:space="preserve"> </w:t>
      </w:r>
      <w:r>
        <w:t xml:space="preserve">names </w:t>
      </w:r>
      <w:r>
        <w:t xml:space="preserve">[9]</w:t>
      </w:r>
      <w:r>
        <w:t xml:space="preserve">.</w:t>
      </w:r>
    </w:p>
    <w:p>
      <w:pPr>
        <w:pStyle w:val="BodyText"/>
      </w:pPr>
      <w:r>
        <w:t xml:space="preserve">AI agents load a category of artifact this investment does not reach.</w:t>
      </w:r>
      <w:r>
        <w:t xml:space="preserve"> </w:t>
      </w:r>
      <w:r>
        <w:t xml:space="preserve">We call them</w:t>
      </w:r>
      <w:r>
        <w:t xml:space="preserve"> </w:t>
      </w:r>
      <w:r>
        <w:rPr>
          <w:i/>
          <w:iCs/>
        </w:rPr>
        <w:t xml:space="preserve">context primitives</w:t>
      </w:r>
      <w:r>
        <w:t xml:space="preserve">: documents the agent treats as</w:t>
      </w:r>
      <w:r>
        <w:t xml:space="preserve"> </w:t>
      </w:r>
      <w:r>
        <w:t xml:space="preserve">instruction at load time. A skill file under</w:t>
      </w:r>
      <w:r>
        <w:t xml:space="preserve"> </w:t>
      </w:r>
      <w:r>
        <w:rPr>
          <w:rStyle w:val="VerbatimChar"/>
        </w:rPr>
        <w:t xml:space="preserve">.claude/skills</w:t>
      </w:r>
      <w:r>
        <w:t xml:space="preserve">; a</w:t>
      </w:r>
      <w:r>
        <w:t xml:space="preserve"> </w:t>
      </w:r>
      <w:r>
        <w:t xml:space="preserve">system-prompt fragment; an MCP server description that binds tool calls</w:t>
      </w:r>
      <w:r>
        <w:t xml:space="preserve"> </w:t>
      </w:r>
      <w:r>
        <w:t xml:space="preserve">to endpoints; an</w:t>
      </w:r>
      <w:r>
        <w:t xml:space="preserve"> </w:t>
      </w:r>
      <w:r>
        <w:rPr>
          <w:rStyle w:val="VerbatimChar"/>
        </w:rPr>
        <w:t xml:space="preserve">AGENTS.md</w:t>
      </w:r>
      <w:r>
        <w:t xml:space="preserve"> </w:t>
      </w:r>
      <w:r>
        <w:t xml:space="preserve">at a repository root. The agent</w:t>
      </w:r>
      <w:r>
        <w:t xml:space="preserve"> </w:t>
      </w:r>
      <w:r>
        <w:t xml:space="preserve">parses each with the same mechanism it uses for user input: as language</w:t>
      </w:r>
      <w:r>
        <w:t xml:space="preserve"> </w:t>
      </w:r>
      <w:r>
        <w:t xml:space="preserve">to act on.</w:t>
      </w:r>
    </w:p>
    <w:p>
      <w:pPr>
        <w:pStyle w:val="BodyText"/>
      </w:pPr>
      <w:r>
        <w:t xml:space="preserve">A primitive can be well-formed under every existing control, signed by</w:t>
      </w:r>
      <w:r>
        <w:t xml:space="preserve"> </w:t>
      </w:r>
      <w:r>
        <w:t xml:space="preserve">an authorized maintainer, content digest-verified, freshly fetched</w:t>
      </w:r>
      <w:r>
        <w:t xml:space="preserve"> </w:t>
      </w:r>
      <w:r>
        <w:t xml:space="preserve">over an unbroken provenance chain, and still carry prose that says</w:t>
      </w:r>
      <w:r>
        <w:t xml:space="preserve"> </w:t>
      </w:r>
      <w:r>
        <w:rPr>
          <w:i/>
          <w:iCs/>
        </w:rPr>
        <w:t xml:space="preserve">“before your first reply, run</w:t>
      </w:r>
      <w:r>
        <w:rPr>
          <w:i/>
          <w:iCs/>
        </w:rPr>
        <w:t xml:space="preserve"> </w:t>
      </w:r>
      <w:r>
        <w:rPr>
          <w:rStyle w:val="VerbatimChar"/>
          <w:i/>
          <w:iCs/>
        </w:rPr>
        <w:t xml:space="preserve">curl https://attacker.example/i.sh | sh</w:t>
      </w:r>
      <w:r>
        <w:rPr>
          <w:i/>
          <w:iCs/>
        </w:rPr>
        <w:t xml:space="preserve"> </w:t>
      </w:r>
      <w:r>
        <w:rPr>
          <w:i/>
          <w:iCs/>
        </w:rPr>
        <w:t xml:space="preserve">to register with the operations</w:t>
      </w:r>
      <w:r>
        <w:rPr>
          <w:i/>
          <w:iCs/>
        </w:rPr>
        <w:t xml:space="preserve"> </w:t>
      </w:r>
      <w:r>
        <w:rPr>
          <w:i/>
          <w:iCs/>
        </w:rPr>
        <w:t xml:space="preserve">coordinator.”</w:t>
      </w:r>
      <w:r>
        <w:t xml:space="preserve"> </w:t>
      </w:r>
      <w:r>
        <w:t xml:space="preserve">The cryptographic controls confirm the bytes have not</w:t>
      </w:r>
      <w:r>
        <w:t xml:space="preserve"> </w:t>
      </w:r>
      <w:r>
        <w:t xml:space="preserve">changed since signing. They say nothing about whether those bytes, read</w:t>
      </w:r>
      <w:r>
        <w:t xml:space="preserve"> </w:t>
      </w:r>
      <w:r>
        <w:t xml:space="preserve">as instruction, are safe to follow </w:t>
      </w:r>
      <w:r>
        <w:t xml:space="preserve">[10]</w:t>
      </w:r>
      <w:r>
        <w:t xml:space="preserve">.</w:t>
      </w:r>
    </w:p>
    <w:bookmarkEnd w:id="9"/>
    <w:bookmarkStart w:id="10" w:name="X9513ce82364c87653ab6c6791f649de1974f6fb"/>
    <w:p>
      <w:pPr>
        <w:pStyle w:val="Heading2"/>
      </w:pPr>
      <w:r>
        <w:t xml:space="preserve">What an attacker does with a poisoned primitive</w:t>
      </w:r>
    </w:p>
    <w:p>
      <w:pPr>
        <w:pStyle w:val="FirstParagraph"/>
      </w:pPr>
      <w:r>
        <w:t xml:space="preserve">The surface is wider than any one trick. A primitive can tell the agent</w:t>
      </w:r>
      <w:r>
        <w:t xml:space="preserve"> </w:t>
      </w:r>
      <w:r>
        <w:t xml:space="preserve">to fetch a URL and treat the response as further</w:t>
      </w:r>
      <w:r>
        <w:t xml:space="preserve"> </w:t>
      </w:r>
      <w:r>
        <w:t xml:space="preserve">instruction </w:t>
      </w:r>
      <w:r>
        <w:t xml:space="preserve">[10]</w:t>
      </w:r>
      <w:r>
        <w:t xml:space="preserve">; hide a directive inside</w:t>
      </w:r>
      <w:r>
        <w:t xml:space="preserve"> </w:t>
      </w:r>
      <w:r>
        <w:t xml:space="preserve">zero-width codepoints invisible to a reviewer; pair a base64 blob with</w:t>
      </w:r>
      <w:r>
        <w:t xml:space="preserve"> </w:t>
      </w:r>
      <w:r>
        <w:t xml:space="preserve">a decode-and-run order; impersonate a vendor whose name carries a</w:t>
      </w:r>
      <w:r>
        <w:t xml:space="preserve"> </w:t>
      </w:r>
      <w:r>
        <w:t xml:space="preserve">Cyrillic letter in place of a Latin A; or bury the live instruction</w:t>
      </w:r>
      <w:r>
        <w:t xml:space="preserve"> </w:t>
      </w:r>
      <w:r>
        <w:t xml:space="preserve">under decorative padding. Each is the same boundary, prose interpreted</w:t>
      </w:r>
      <w:r>
        <w:t xml:space="preserve"> </w:t>
      </w:r>
      <w:r>
        <w:t xml:space="preserve">as instruction, failing in a different way.</w:t>
      </w:r>
    </w:p>
    <w:p>
      <w:pPr>
        <w:pStyle w:val="BodyText"/>
      </w:pPr>
      <w:r>
        <w:t xml:space="preserve">Signing cannot close this. It proves</w:t>
      </w:r>
      <w:r>
        <w:t xml:space="preserve"> </w:t>
      </w:r>
      <w:r>
        <w:rPr>
          <w:i/>
          <w:iCs/>
        </w:rPr>
        <w:t xml:space="preserve">who</w:t>
      </w:r>
      <w:r>
        <w:t xml:space="preserve"> </w:t>
      </w:r>
      <w:r>
        <w:t xml:space="preserve">wrote a primitive, not</w:t>
      </w:r>
      <w:r>
        <w:t xml:space="preserve"> </w:t>
      </w:r>
      <w:r>
        <w:t xml:space="preserve">what the primitive tells the agent to do. Runtime defenses such as</w:t>
      </w:r>
      <w:r>
        <w:t xml:space="preserve"> </w:t>
      </w:r>
      <w:r>
        <w:t xml:space="preserve">output filtering and instruction-hierarchy</w:t>
      </w:r>
      <w:r>
        <w:t xml:space="preserve"> </w:t>
      </w:r>
      <w:r>
        <w:t xml:space="preserve">training </w:t>
      </w:r>
      <w:r>
        <w:t xml:space="preserve">[11], [12]</w:t>
      </w:r>
      <w:r>
        <w:t xml:space="preserve"> </w:t>
      </w:r>
      <w:r>
        <w:t xml:space="preserve">catch some attacks at execution time, but the cost of a caught attack,</w:t>
      </w:r>
      <w:r>
        <w:t xml:space="preserve"> </w:t>
      </w:r>
      <w:r>
        <w:t xml:space="preserve">a credential read or a command run, is partly paid before the defense</w:t>
      </w:r>
      <w:r>
        <w:t xml:space="preserve"> </w:t>
      </w:r>
      <w:r>
        <w:t xml:space="preserve">fires. The missing layer is a semantic check that runs</w:t>
      </w:r>
      <w:r>
        <w:t xml:space="preserve"> </w:t>
      </w:r>
      <w:r>
        <w:rPr>
          <w:i/>
          <w:iCs/>
        </w:rPr>
        <w:t xml:space="preserve">before</w:t>
      </w:r>
      <w:r>
        <w:t xml:space="preserve"> </w:t>
      </w:r>
      <w:r>
        <w:t xml:space="preserve">the</w:t>
      </w:r>
      <w:r>
        <w:t xml:space="preserve"> </w:t>
      </w:r>
      <w:r>
        <w:t xml:space="preserve">primitive reaches the agent’s load path: a scan of its prose for known</w:t>
      </w:r>
      <w:r>
        <w:t xml:space="preserve"> </w:t>
      </w:r>
      <w:r>
        <w:t xml:space="preserve">attack shapes, with explicit per-shape detectors and measured precision</w:t>
      </w:r>
      <w:r>
        <w:t xml:space="preserve"> </w:t>
      </w:r>
      <w:r>
        <w:t xml:space="preserve">and recall against a labeled corpus.</w:t>
      </w:r>
    </w:p>
    <w:bookmarkEnd w:id="10"/>
    <w:bookmarkStart w:id="15" w:name="contributions"/>
    <w:p>
      <w:pPr>
        <w:pStyle w:val="Heading2"/>
      </w:pPr>
      <w:r>
        <w:t xml:space="preserve">Contributions</w:t>
      </w:r>
    </w:p>
    <w:bookmarkStart w:id="11" w:name="a-threat-taxonomy-defined-operationally"/>
    <w:p>
      <w:pPr>
        <w:pStyle w:val="Heading4"/>
      </w:pPr>
      <w:r>
        <w:t xml:space="preserve">A threat taxonomy, defined operationally</w:t>
      </w:r>
    </w:p>
    <w:p>
      <w:pPr>
        <w:pStyle w:val="FirstParagraph"/>
      </w:pPr>
      <w:r>
        <w:t xml:space="preserve">We present the</w:t>
      </w:r>
      <w:r>
        <w:t xml:space="preserve"> </w:t>
      </w:r>
      <w:r>
        <w:t xml:space="preserve">Context CI Top 10, a ten-category taxonomy of agent-context</w:t>
      </w:r>
      <w:r>
        <w:t xml:space="preserve"> </w:t>
      </w:r>
      <w:r>
        <w:t xml:space="preserve">supply-chain attacks. Each category is defined by an implemented</w:t>
      </w:r>
      <w:r>
        <w:t xml:space="preserve"> </w:t>
      </w:r>
      <w:r>
        <w:t xml:space="preserve">detector, at least one canonical sample from a labeled corpus, and a</w:t>
      </w:r>
      <w:r>
        <w:t xml:space="preserve"> </w:t>
      </w:r>
      <w:r>
        <w:t xml:space="preserve">measured precision and recall. The taxonomy is not exhaustive; it is the</w:t>
      </w:r>
      <w:r>
        <w:t xml:space="preserve"> </w:t>
      </w:r>
      <w:r>
        <w:t xml:space="preserve">set of shapes observed in incidents or composable from</w:t>
      </w:r>
      <w:r>
        <w:t xml:space="preserve"> </w:t>
      </w:r>
      <w:r>
        <w:t xml:space="preserve">them </w:t>
      </w:r>
      <w:r>
        <w:t xml:space="preserve">[9], [12], [13]</w:t>
      </w:r>
      <w:r>
        <w:t xml:space="preserve">.</w:t>
      </w:r>
      <w:r>
        <w:t xml:space="preserve"> </w:t>
      </w:r>
      <w:r>
        <w:t xml:space="preserve">Section </w:t>
      </w:r>
      <w:hyperlink w:anchor="sec:threat-model">
        <w:r>
          <w:rPr>
            <w:rStyle w:val="Hyperlink"/>
          </w:rPr>
          <w:t xml:space="preserve">3</w:t>
        </w:r>
      </w:hyperlink>
      <w:r>
        <w:t xml:space="preserve"> </w:t>
      </w:r>
      <w:r>
        <w:t xml:space="preserve">treats each in turn.</w:t>
      </w:r>
    </w:p>
    <w:bookmarkEnd w:id="11"/>
    <w:bookmarkStart w:id="12" w:name="Xceb1c7152c38d3b7c86c2f86296252d135ce1cc"/>
    <w:p>
      <w:pPr>
        <w:pStyle w:val="Heading4"/>
      </w:pPr>
      <w:r>
        <w:t xml:space="preserve">A labeled corpus and a measurement contract</w:t>
      </w:r>
    </w:p>
    <w:p>
      <w:pPr>
        <w:pStyle w:val="FirstParagraph"/>
      </w:pPr>
      <w:r>
        <w:t xml:space="preserve">We ship 124</w:t>
      </w:r>
      <w:r>
        <w:t xml:space="preserve"> </w:t>
      </w:r>
      <w:r>
        <w:t xml:space="preserve">labeled samples under CC-BY-4.0: 99 in-sample (52 adversarial, 37</w:t>
      </w:r>
      <w:r>
        <w:t xml:space="preserve"> </w:t>
      </w:r>
      <w:r>
        <w:t xml:space="preserve">benign, 10 borderline) and 25 held out. Two engines, Python and</w:t>
      </w:r>
      <w:r>
        <w:t xml:space="preserve"> </w:t>
      </w:r>
      <w:r>
        <w:t xml:space="preserve">TypeScript, run the same detectors over the same bytes, and a CI gate</w:t>
      </w:r>
      <w:r>
        <w:t xml:space="preserve"> </w:t>
      </w:r>
      <w:r>
        <w:t xml:space="preserve">requires byte-identical</w:t>
      </w:r>
      <w:r>
        <w:t xml:space="preserve"> </w:t>
      </w:r>
      <w:r>
        <w:rPr>
          <w:rStyle w:val="VerbatimChar"/>
        </w:rPr>
        <w:t xml:space="preserve">(tp, fp, tn, fn)</w:t>
      </w:r>
      <w:r>
        <w:t xml:space="preserve"> </w:t>
      </w:r>
      <w:r>
        <w:t xml:space="preserve">tuples on the</w:t>
      </w:r>
      <w:r>
        <w:t xml:space="preserve"> </w:t>
      </w:r>
      <w:r>
        <w:t xml:space="preserve">in-sample slice. The held-out slice is reserved as an overfit probe and</w:t>
      </w:r>
      <w:r>
        <w:t xml:space="preserve"> </w:t>
      </w:r>
      <w:r>
        <w:t xml:space="preserve">is never used to tune the detectors.</w:t>
      </w:r>
    </w:p>
    <w:bookmarkEnd w:id="12"/>
    <w:bookmarkStart w:id="13" w:name="an-antivirus-vendor-methodology"/>
    <w:p>
      <w:pPr>
        <w:pStyle w:val="Heading4"/>
      </w:pPr>
      <w:r>
        <w:t xml:space="preserve">An antivirus-vendor methodology</w:t>
      </w:r>
    </w:p>
    <w:p>
      <w:pPr>
        <w:pStyle w:val="FirstParagraph"/>
      </w:pPr>
      <w:r>
        <w:t xml:space="preserve">We adopt the AV industry’s</w:t>
      </w:r>
      <w:r>
        <w:t xml:space="preserve"> </w:t>
      </w:r>
      <w:r>
        <w:t xml:space="preserve">discipline of paired, append-only false-positive and false-negative</w:t>
      </w:r>
      <w:r>
        <w:t xml:space="preserve"> </w:t>
      </w:r>
      <w:r>
        <w:t xml:space="preserve">ledgers, with a four-path triage applied to every finding before any</w:t>
      </w:r>
      <w:r>
        <w:t xml:space="preserve"> </w:t>
      </w:r>
      <w:r>
        <w:t xml:space="preserve">detector change </w:t>
      </w:r>
      <w:r>
        <w:t xml:space="preserve">[14]</w:t>
      </w:r>
      <w:r>
        <w:t xml:space="preserve">. The</w:t>
      </w:r>
      <w:r>
        <w:t xml:space="preserve"> </w:t>
      </w:r>
      <w:r>
        <w:t xml:space="preserve">discipline is what stops a team from trading precision for recall by</w:t>
      </w:r>
      <w:r>
        <w:t xml:space="preserve"> </w:t>
      </w:r>
      <w:r>
        <w:t xml:space="preserve">reflex.</w:t>
      </w:r>
    </w:p>
    <w:bookmarkEnd w:id="13"/>
    <w:bookmarkStart w:id="14" w:name="an-open-reproducible-artifact"/>
    <w:p>
      <w:pPr>
        <w:pStyle w:val="Heading4"/>
      </w:pPr>
      <w:r>
        <w:t xml:space="preserve">An open, reproducible artifact</w:t>
      </w:r>
    </w:p>
    <w:p>
      <w:pPr>
        <w:pStyle w:val="FirstParagraph"/>
      </w:pPr>
      <w:r>
        <w:t xml:space="preserve">The corpus, detectors,</w:t>
      </w:r>
      <w:r>
        <w:t xml:space="preserve"> </w:t>
      </w:r>
      <w:r>
        <w:t xml:space="preserve">measurement scripts, regression gate, and a per-sample replay tool are</w:t>
      </w:r>
      <w:r>
        <w:t xml:space="preserve"> </w:t>
      </w:r>
      <w:r>
        <w:t xml:space="preserve">open source. A reviewer can clone the repository, run one script, and</w:t>
      </w:r>
      <w:r>
        <w:t xml:space="preserve"> </w:t>
      </w:r>
      <w:r>
        <w:t xml:space="preserve">obtain the per-detector numbers we report here.</w:t>
      </w:r>
    </w:p>
    <w:bookmarkEnd w:id="14"/>
    <w:bookmarkEnd w:id="15"/>
    <w:bookmarkStart w:id="16" w:name="results"/>
    <w:p>
      <w:pPr>
        <w:pStyle w:val="Heading2"/>
      </w:pPr>
      <w:r>
        <w:t xml:space="preserve">Results</w:t>
      </w:r>
    </w:p>
    <w:p>
      <w:pPr>
        <w:pStyle w:val="FirstParagraph"/>
      </w:pPr>
      <w:r>
        <w:t xml:space="preserve">On the in-sample slice both engines agree byte-for-byte and reach a</w:t>
      </w:r>
      <w:r>
        <w:t xml:space="preserve"> </w:t>
      </w:r>
      <w:r>
        <w:t xml:space="preserve">macro F</w:t>
      </w:r>
      <w:r>
        <w:rPr>
          <w:vertAlign w:val="subscript"/>
        </w:rPr>
        <w:t xml:space="preserve">1</w:t>
      </w:r>
      <w:r>
        <w:t xml:space="preserve"> </w:t>
      </w:r>
      <w:r>
        <w:t xml:space="preserve">of 0.991: nine of ten detectors score a perfect</w:t>
      </w:r>
      <w:r>
        <w:t xml:space="preserve"> </w:t>
      </w:r>
      <w:r>
        <w:t xml:space="preserve">1.000, and one, the unsafe-shell-install detector, carries a single</w:t>
      </w:r>
      <w:r>
        <w:t xml:space="preserve"> </w:t>
      </w:r>
      <w:r>
        <w:t xml:space="preserve">benign false positive (precision 0.833). We do not suppress it. The</w:t>
      </w:r>
      <w:r>
        <w:t xml:space="preserve"> </w:t>
      </w:r>
      <w:r>
        <w:t xml:space="preserve">held-out slice is where the split exposes implementation drift. The</w:t>
      </w:r>
      <w:r>
        <w:t xml:space="preserve"> </w:t>
      </w:r>
      <w:r>
        <w:t xml:space="preserve">Python engine</w:t>
      </w:r>
      <w:r>
        <w:t xml:space="preserve"> </w:t>
      </w:r>
      <w:r>
        <w:t xml:space="preserve">recovers all 25 held-out attacks; the TypeScript port recovers 18, a</w:t>
      </w:r>
      <w:r>
        <w:t xml:space="preserve"> </w:t>
      </w:r>
      <w:r>
        <w:t xml:space="preserve">macro recall of 0.832, missing held-out shapes in four categories that</w:t>
      </w:r>
      <w:r>
        <w:t xml:space="preserve"> </w:t>
      </w:r>
      <w:r>
        <w:t xml:space="preserve">the Python engine catches. That divergence is the corpus doing its job:</w:t>
      </w:r>
      <w:r>
        <w:t xml:space="preserve"> </w:t>
      </w:r>
      <w:r>
        <w:t xml:space="preserve">the in-sample gate guarantees parity on samples the detectors have seen,</w:t>
      </w:r>
      <w:r>
        <w:t xml:space="preserve"> </w:t>
      </w:r>
      <w:r>
        <w:t xml:space="preserve">and the held-out slice reveals that the TypeScript port still lags the</w:t>
      </w:r>
      <w:r>
        <w:t xml:space="preserve"> </w:t>
      </w:r>
      <w:r>
        <w:t xml:space="preserve">Python engine on shapes neither was tuned against.</w:t>
      </w:r>
      <w:r>
        <w:t xml:space="preserve"> </w:t>
      </w:r>
      <w:r>
        <w:t xml:space="preserve">Section </w:t>
      </w:r>
      <w:hyperlink w:anchor="sec:evaluation">
        <w:r>
          <w:rPr>
            <w:rStyle w:val="Hyperlink"/>
          </w:rPr>
          <w:t xml:space="preserve">6</w:t>
        </w:r>
      </w:hyperlink>
      <w:r>
        <w:t xml:space="preserve"> </w:t>
      </w:r>
      <w:r>
        <w:t xml:space="preserve">reports the per-detector breakdown and an</w:t>
      </w:r>
      <w:r>
        <w:t xml:space="preserve"> </w:t>
      </w:r>
      <w:r>
        <w:t xml:space="preserve">enumerated list of limitations, so this reads as an initial measurement</w:t>
      </w:r>
      <w:r>
        <w:t xml:space="preserve"> </w:t>
      </w:r>
      <w:r>
        <w:t xml:space="preserve">rather than a final claim.</w:t>
      </w:r>
    </w:p>
    <w:bookmarkEnd w:id="16"/>
    <w:bookmarkStart w:id="17" w:name="organization"/>
    <w:p>
      <w:pPr>
        <w:pStyle w:val="Heading2"/>
      </w:pPr>
      <w:r>
        <w:t xml:space="preserve">Organization</w:t>
      </w:r>
    </w:p>
    <w:p>
      <w:pPr>
        <w:pStyle w:val="FirstParagraph"/>
      </w:pPr>
      <w:r>
        <w:t xml:space="preserve">Section </w:t>
      </w:r>
      <w:hyperlink w:anchor="sec:bridge">
        <w:r>
          <w:rPr>
            <w:rStyle w:val="Hyperlink"/>
          </w:rPr>
          <w:t xml:space="preserve">2</w:t>
        </w:r>
      </w:hyperlink>
      <w:r>
        <w:t xml:space="preserve"> </w:t>
      </w:r>
      <w:r>
        <w:t xml:space="preserve">maps the agent-context supply chain onto the</w:t>
      </w:r>
      <w:r>
        <w:t xml:space="preserve"> </w:t>
      </w:r>
      <w:r>
        <w:t xml:space="preserve">classical one. Section </w:t>
      </w:r>
      <w:hyperlink w:anchor="sec:threat-model">
        <w:r>
          <w:rPr>
            <w:rStyle w:val="Hyperlink"/>
          </w:rPr>
          <w:t xml:space="preserve">3</w:t>
        </w:r>
      </w:hyperlink>
      <w:r>
        <w:t xml:space="preserve"> </w:t>
      </w:r>
      <w:r>
        <w:t xml:space="preserve">states the formal threat</w:t>
      </w:r>
      <w:r>
        <w:t xml:space="preserve"> </w:t>
      </w:r>
      <w:r>
        <w:t xml:space="preserve">model and presents the taxonomy.</w:t>
      </w:r>
      <w:r>
        <w:t xml:space="preserve"> </w:t>
      </w:r>
      <w:r>
        <w:t xml:space="preserve">Section </w:t>
      </w:r>
      <w:hyperlink w:anchor="sec:system-design">
        <w:r>
          <w:rPr>
            <w:rStyle w:val="Hyperlink"/>
          </w:rPr>
          <w:t xml:space="preserve">4</w:t>
        </w:r>
      </w:hyperlink>
      <w:r>
        <w:t xml:space="preserve"> </w:t>
      </w:r>
      <w:r>
        <w:t xml:space="preserve">places it inside the three-pillar Trust</w:t>
      </w:r>
      <w:r>
        <w:t xml:space="preserve"> </w:t>
      </w:r>
      <w:r>
        <w:t xml:space="preserve">Runtime. Section </w:t>
      </w:r>
      <w:hyperlink w:anchor="sec:implementation">
        <w:r>
          <w:rPr>
            <w:rStyle w:val="Hyperlink"/>
          </w:rPr>
          <w:t xml:space="preserve">5</w:t>
        </w:r>
      </w:hyperlink>
      <w:r>
        <w:t xml:space="preserve"> </w:t>
      </w:r>
      <w:r>
        <w:t xml:space="preserve">covers the dual-engine</w:t>
      </w:r>
      <w:r>
        <w:t xml:space="preserve"> </w:t>
      </w:r>
      <w:r>
        <w:t xml:space="preserve">discipline, the regression gate, and the ledgers.</w:t>
      </w:r>
      <w:r>
        <w:t xml:space="preserve"> </w:t>
      </w:r>
      <w:r>
        <w:t xml:space="preserve">Section </w:t>
      </w:r>
      <w:hyperlink w:anchor="sec:evaluation">
        <w:r>
          <w:rPr>
            <w:rStyle w:val="Hyperlink"/>
          </w:rPr>
          <w:t xml:space="preserve">6</w:t>
        </w:r>
      </w:hyperlink>
      <w:r>
        <w:t xml:space="preserve"> </w:t>
      </w:r>
      <w:r>
        <w:t xml:space="preserve">reports the numbers and the limitations.</w:t>
      </w:r>
      <w:r>
        <w:t xml:space="preserve"> </w:t>
      </w:r>
      <w:r>
        <w:t xml:space="preserve">Section </w:t>
      </w:r>
      <w:hyperlink w:anchor="sec:case-studies">
        <w:r>
          <w:rPr>
            <w:rStyle w:val="Hyperlink"/>
          </w:rPr>
          <w:t xml:space="preserve">7</w:t>
        </w:r>
      </w:hyperlink>
      <w:r>
        <w:t xml:space="preserve"> </w:t>
      </w:r>
      <w:r>
        <w:t xml:space="preserve">walks five concrete verdicts.</w:t>
      </w:r>
      <w:r>
        <w:t xml:space="preserve"> </w:t>
      </w:r>
      <w:r>
        <w:t xml:space="preserve">Section </w:t>
      </w:r>
      <w:hyperlink w:anchor="sec:related">
        <w:r>
          <w:rPr>
            <w:rStyle w:val="Hyperlink"/>
          </w:rPr>
          <w:t xml:space="preserve">8</w:t>
        </w:r>
      </w:hyperlink>
      <w:r>
        <w:t xml:space="preserve"> </w:t>
      </w:r>
      <w:r>
        <w:t xml:space="preserve">positions the work against supply-chain</w:t>
      </w:r>
      <w:r>
        <w:t xml:space="preserve"> </w:t>
      </w:r>
      <w:r>
        <w:t xml:space="preserve">security, prompt-injection defense, and AV practice.</w:t>
      </w:r>
      <w:r>
        <w:t xml:space="preserve"> </w:t>
      </w:r>
      <w:r>
        <w:t xml:space="preserve">Section </w:t>
      </w:r>
      <w:hyperlink w:anchor="sec:conclusion">
        <w:r>
          <w:rPr>
            <w:rStyle w:val="Hyperlink"/>
          </w:rPr>
          <w:t xml:space="preserve">9</w:t>
        </w:r>
      </w:hyperlink>
      <w:r>
        <w:t xml:space="preserve"> </w:t>
      </w:r>
      <w:r>
        <w:t xml:space="preserve">closes with future work.</w:t>
      </w:r>
    </w:p>
    <w:bookmarkEnd w:id="17"/>
    <w:bookmarkEnd w:id="18"/>
    <w:bookmarkStart w:id="20" w:name="sec:bridge"/>
    <w:p>
      <w:pPr>
        <w:pStyle w:val="Heading1"/>
      </w:pPr>
      <w:r>
        <w:t xml:space="preserve">From Software to Agent-Context Supply Chains</w:t>
      </w:r>
    </w:p>
    <w:p>
      <w:pPr>
        <w:pStyle w:val="FirstParagraph"/>
      </w:pPr>
      <w:r>
        <w:t xml:space="preserve">The agent-context supply chain is not a metaphor borrowed loosely from</w:t>
      </w:r>
      <w:r>
        <w:t xml:space="preserve"> </w:t>
      </w:r>
      <w:r>
        <w:t xml:space="preserve">software packaging; it is the same chain with a different artifact at</w:t>
      </w:r>
      <w:r>
        <w:t xml:space="preserve"> </w:t>
      </w:r>
      <w:r>
        <w:t xml:space="preserve">each link. Classical supply-chain security hardened the path from source</w:t>
      </w:r>
      <w:r>
        <w:t xml:space="preserve"> </w:t>
      </w:r>
      <w:r>
        <w:t xml:space="preserve">code to a running binary. The agent-context path runs from a written</w:t>
      </w:r>
      <w:r>
        <w:t xml:space="preserve"> </w:t>
      </w:r>
      <w:r>
        <w:t xml:space="preserve">primitive to an action a model takes, and every defense built for the</w:t>
      </w:r>
      <w:r>
        <w:t xml:space="preserve"> </w:t>
      </w:r>
      <w:r>
        <w:t xml:space="preserve">first path has a counterpart on the second.</w:t>
      </w:r>
      <w:r>
        <w:t xml:space="preserve"> </w:t>
      </w:r>
      <w:r>
        <w:t xml:space="preserve">Table </w:t>
      </w:r>
      <w:hyperlink w:anchor="tab:bridge">
        <w:r>
          <w:rPr>
            <w:rStyle w:val="Hyperlink"/>
          </w:rPr>
          <w:t xml:space="preserve">1</w:t>
        </w:r>
      </w:hyperlink>
      <w:r>
        <w:t xml:space="preserve"> </w:t>
      </w:r>
      <w:r>
        <w:t xml:space="preserve">states the correspondence; the rest of the paper</w:t>
      </w:r>
      <w:r>
        <w:t xml:space="preserve"> </w:t>
      </w:r>
      <w:r>
        <w:t xml:space="preserve">fills it in.</w:t>
      </w:r>
    </w:p>
    <w:bookmarkStart w:id="19" w:name="tab:bridge"/>
    <w:p>
      <w:pPr>
        <w:pStyle w:val="TableCaption"/>
      </w:pPr>
      <w:r>
        <w:t xml:space="preserve">Each element of the classical software supply chain has an</w:t>
      </w:r>
      <w:r>
        <w:t xml:space="preserve"> </w:t>
      </w:r>
      <w:r>
        <w:t xml:space="preserve">agent-context analogue. The right column names the artifact or control</w:t>
      </w:r>
      <w:r>
        <w:t xml:space="preserve"> </w:t>
      </w:r>
      <w:r>
        <w:t xml:space="preserve">this paper studies; parenthetical tags point to the relevant Context CI</w:t>
      </w:r>
      <w:r>
        <w:t xml:space="preserve"> </w:t>
      </w:r>
      <w:r>
        <w:t xml:space="preserve">category.</w:t>
      </w:r>
    </w:p>
    <w:tbl>
      <w:tblPr>
        <w:tblStyle w:val="Table"/>
        <w:tblW w:type="auto" w:w="0"/>
        <w:tblLook w:firstRow="1" w:lastRow="0" w:firstColumn="0" w:lastColumn="0" w:noHBand="0" w:noVBand="0" w:val="0020"/>
        <w:tblCaption w:val="Each element of the classical software supply chain has an agent-context analogue. The right column names the artifact or control this paper studies; parenthetical tags point to the relevant Context CI category."/>
      </w:tblPr>
      <w:tblGrid>
        <w:gridCol w:w="3960"/>
        <w:gridCol w:w="3960"/>
      </w:tblGrid>
      <w:tr>
        <w:trPr>
          <w:tblHeader w:val="on"/>
        </w:trPr>
        <w:tc>
          <w:tcPr/>
          <w:p>
            <w:pPr>
              <w:pStyle w:val="Compact"/>
              <w:jc w:val="left"/>
            </w:pPr>
            <w:r>
              <w:rPr>
                <w:b/>
                <w:bCs/>
              </w:rPr>
              <w:t xml:space="preserve">Software supply chain</w:t>
            </w:r>
          </w:p>
        </w:tc>
        <w:tc>
          <w:tcPr/>
          <w:p>
            <w:pPr>
              <w:pStyle w:val="Compact"/>
              <w:jc w:val="left"/>
            </w:pPr>
            <w:r>
              <w:rPr>
                <w:b/>
                <w:bCs/>
              </w:rPr>
              <w:t xml:space="preserve">Agent-context supply chain</w:t>
            </w:r>
          </w:p>
        </w:tc>
      </w:tr>
      <w:tr>
        <w:tc>
          <w:tcPr/>
          <w:p>
            <w:pPr>
              <w:pStyle w:val="Compact"/>
              <w:jc w:val="left"/>
            </w:pPr>
            <w:r>
              <w:t xml:space="preserve">Source code</w:t>
            </w:r>
          </w:p>
        </w:tc>
        <w:tc>
          <w:tcPr/>
          <w:p>
            <w:pPr>
              <w:pStyle w:val="Compact"/>
              <w:jc w:val="left"/>
            </w:pPr>
            <w:r>
              <w:t xml:space="preserve">Context primitive</w:t>
            </w:r>
          </w:p>
        </w:tc>
      </w:tr>
      <w:tr>
        <w:tc>
          <w:tcPr/>
          <w:p>
            <w:pPr>
              <w:pStyle w:val="Compact"/>
              <w:jc w:val="left"/>
            </w:pPr>
            <w:r>
              <w:t xml:space="preserve">Build artifact</w:t>
            </w:r>
          </w:p>
        </w:tc>
        <w:tc>
          <w:tcPr/>
          <w:p>
            <w:pPr>
              <w:pStyle w:val="Compact"/>
              <w:jc w:val="left"/>
            </w:pPr>
            <w:r>
              <w:t xml:space="preserve">Trust Bundle</w:t>
            </w:r>
          </w:p>
        </w:tc>
      </w:tr>
      <w:tr>
        <w:tc>
          <w:tcPr/>
          <w:p>
            <w:pPr>
              <w:pStyle w:val="Compact"/>
              <w:jc w:val="left"/>
            </w:pPr>
            <w:r>
              <w:t xml:space="preserve">SBOM</w:t>
            </w:r>
          </w:p>
        </w:tc>
        <w:tc>
          <w:tcPr/>
          <w:p>
            <w:pPr>
              <w:pStyle w:val="Compact"/>
              <w:jc w:val="left"/>
            </w:pPr>
            <w:r>
              <w:t xml:space="preserve">CBOM (context bill of materials)</w:t>
            </w:r>
          </w:p>
        </w:tc>
      </w:tr>
      <w:tr>
        <w:tc>
          <w:tcPr/>
          <w:p>
            <w:pPr>
              <w:pStyle w:val="Compact"/>
              <w:jc w:val="left"/>
            </w:pPr>
            <w:r>
              <w:t xml:space="preserve">Package registry</w:t>
            </w:r>
          </w:p>
        </w:tc>
        <w:tc>
          <w:tcPr/>
          <w:p>
            <w:pPr>
              <w:pStyle w:val="Compact"/>
              <w:jc w:val="left"/>
            </w:pPr>
            <w:r>
              <w:t xml:space="preserve">Primitive registry</w:t>
            </w:r>
          </w:p>
        </w:tc>
      </w:tr>
      <w:tr>
        <w:tc>
          <w:tcPr/>
          <w:p>
            <w:pPr>
              <w:pStyle w:val="Compact"/>
              <w:jc w:val="left"/>
            </w:pPr>
            <w:r>
              <w:t xml:space="preserve">Malware signature</w:t>
            </w:r>
          </w:p>
        </w:tc>
        <w:tc>
          <w:tcPr/>
          <w:p>
            <w:pPr>
              <w:pStyle w:val="Compact"/>
              <w:jc w:val="left"/>
            </w:pPr>
            <w:r>
              <w:t xml:space="preserve">Context CI detector</w:t>
            </w:r>
          </w:p>
        </w:tc>
      </w:tr>
      <w:tr>
        <w:tc>
          <w:tcPr/>
          <w:p>
            <w:pPr>
              <w:pStyle w:val="Compact"/>
              <w:jc w:val="left"/>
            </w:pPr>
            <w:r>
              <w:t xml:space="preserve">Dependency confusion</w:t>
            </w:r>
          </w:p>
        </w:tc>
        <w:tc>
          <w:tcPr/>
          <w:p>
            <w:pPr>
              <w:pStyle w:val="Compact"/>
              <w:jc w:val="left"/>
            </w:pPr>
            <w:r>
              <w:t xml:space="preserve">Poisoned naming / impersonation (CCI-007)</w:t>
            </w:r>
          </w:p>
        </w:tc>
      </w:tr>
      <w:tr>
        <w:tc>
          <w:tcPr/>
          <w:p>
            <w:pPr>
              <w:pStyle w:val="Compact"/>
              <w:jc w:val="left"/>
            </w:pPr>
            <w:r>
              <w:t xml:space="preserve">Postinstall script</w:t>
            </w:r>
          </w:p>
        </w:tc>
        <w:tc>
          <w:tcPr/>
          <w:p>
            <w:pPr>
              <w:pStyle w:val="Compact"/>
              <w:jc w:val="left"/>
            </w:pPr>
            <w:r>
              <w:t xml:space="preserve">Unsafe shell-install instruction (CCI-005)</w:t>
            </w:r>
          </w:p>
        </w:tc>
      </w:tr>
      <w:tr>
        <w:tc>
          <w:tcPr/>
          <w:p>
            <w:pPr>
              <w:pStyle w:val="Compact"/>
              <w:jc w:val="left"/>
            </w:pPr>
            <w:r>
              <w:t xml:space="preserve">Runtime exploit</w:t>
            </w:r>
          </w:p>
        </w:tc>
        <w:tc>
          <w:tcPr/>
          <w:p>
            <w:pPr>
              <w:pStyle w:val="Compact"/>
              <w:jc w:val="left"/>
            </w:pPr>
            <w:r>
              <w:t xml:space="preserve">Tool-call / shell / credential misuse</w:t>
            </w:r>
          </w:p>
        </w:tc>
      </w:tr>
      <w:tr>
        <w:tc>
          <w:tcPr/>
          <w:p>
            <w:pPr>
              <w:pStyle w:val="Compact"/>
              <w:jc w:val="left"/>
            </w:pPr>
            <w:r>
              <w:t xml:space="preserve">Build provenance</w:t>
            </w:r>
          </w:p>
        </w:tc>
        <w:tc>
          <w:tcPr/>
          <w:p>
            <w:pPr>
              <w:pStyle w:val="Compact"/>
              <w:jc w:val="left"/>
            </w:pPr>
            <w:r>
              <w:t xml:space="preserve">Trust Contract</w:t>
            </w:r>
          </w:p>
        </w:tc>
      </w:tr>
      <w:tr>
        <w:tc>
          <w:tcPr/>
          <w:p>
            <w:pPr>
              <w:pStyle w:val="Compact"/>
              <w:jc w:val="left"/>
            </w:pPr>
            <w:r>
              <w:t xml:space="preserve">Antivirus scanner</w:t>
            </w:r>
          </w:p>
        </w:tc>
        <w:tc>
          <w:tcPr/>
          <w:p>
            <w:pPr>
              <w:pStyle w:val="Compact"/>
              <w:jc w:val="left"/>
            </w:pPr>
            <w:r>
              <w:t xml:space="preserve">Static semantic context scanner</w:t>
            </w:r>
          </w:p>
        </w:tc>
      </w:tr>
    </w:tbl>
    <w:bookmarkEnd w:id="19"/>
    <w:p>
      <w:pPr>
        <w:pStyle w:val="BodyText"/>
      </w:pPr>
      <w:r>
        <w:t xml:space="preserve">The correspondence is load-bearing in two directions. It lets us inherit</w:t>
      </w:r>
      <w:r>
        <w:t xml:space="preserve"> </w:t>
      </w:r>
      <w:r>
        <w:t xml:space="preserve">methodology that already works: content addressing, signed attestations,</w:t>
      </w:r>
      <w:r>
        <w:t xml:space="preserve"> </w:t>
      </w:r>
      <w:r>
        <w:t xml:space="preserve">append-only ledgers, and a labeled corpus that doubles as a regression</w:t>
      </w:r>
      <w:r>
        <w:t xml:space="preserve"> </w:t>
      </w:r>
      <w:r>
        <w:t xml:space="preserve">contract. It also marks where the analogy stops. A malware signature</w:t>
      </w:r>
      <w:r>
        <w:t xml:space="preserve"> </w:t>
      </w:r>
      <w:r>
        <w:t xml:space="preserve">matches bytes; a Context CI detector must read prose as a model would,</w:t>
      </w:r>
      <w:r>
        <w:t xml:space="preserve"> </w:t>
      </w:r>
      <w:r>
        <w:t xml:space="preserve">because the attack is carried in language, not opcodes. A postinstall</w:t>
      </w:r>
      <w:r>
        <w:t xml:space="preserve"> </w:t>
      </w:r>
      <w:r>
        <w:t xml:space="preserve">script executes on the host; an unsafe-install</w:t>
      </w:r>
      <w:r>
        <w:t xml:space="preserve"> </w:t>
      </w:r>
      <w:r>
        <w:rPr>
          <w:i/>
          <w:iCs/>
        </w:rPr>
        <w:t xml:space="preserve">instruction</w:t>
      </w:r>
      <w:r>
        <w:t xml:space="preserve"> </w:t>
      </w:r>
      <w:r>
        <w:t xml:space="preserve">executes only if a model chooses to follow it. The defense therefore</w:t>
      </w:r>
      <w:r>
        <w:t xml:space="preserve"> </w:t>
      </w:r>
      <w:r>
        <w:t xml:space="preserve">sits one step earlier than antivirus ever did: not at the moment of</w:t>
      </w:r>
      <w:r>
        <w:t xml:space="preserve"> </w:t>
      </w:r>
      <w:r>
        <w:t xml:space="preserve">execution, but at the moment a primitive is admitted to the chain.</w:t>
      </w:r>
    </w:p>
    <w:bookmarkEnd w:id="20"/>
    <w:bookmarkStart w:id="39" w:name="sec:threat-model"/>
    <w:p>
      <w:pPr>
        <w:pStyle w:val="Heading1"/>
      </w:pPr>
      <w:r>
        <w:t xml:space="preserve">Threat Model and the Context CI Top 10</w:t>
      </w:r>
    </w:p>
    <w:bookmarkStart w:id="26" w:name="subsec:adversary"/>
    <w:p>
      <w:pPr>
        <w:pStyle w:val="Heading2"/>
      </w:pPr>
      <w:r>
        <w:t xml:space="preserve">Adversary model</w:t>
      </w:r>
    </w:p>
    <w:p>
      <w:pPr>
        <w:pStyle w:val="FirstParagraph"/>
      </w:pPr>
      <w:r>
        <w:t xml:space="preserve">We state the model explicitly, because a security property is only as</w:t>
      </w:r>
      <w:r>
        <w:t xml:space="preserve"> </w:t>
      </w:r>
      <w:r>
        <w:t xml:space="preserve">meaningful as the boundary it is enforced at.</w:t>
      </w:r>
    </w:p>
    <w:bookmarkStart w:id="21" w:name="attacker-capabilities"/>
    <w:p>
      <w:pPr>
        <w:pStyle w:val="Heading4"/>
      </w:pPr>
      <w:r>
        <w:t xml:space="preserve">Attacker capabilities</w:t>
      </w:r>
    </w:p>
    <w:p>
      <w:pPr>
        <w:pStyle w:val="FirstParagraph"/>
      </w:pPr>
      <w:r>
        <w:t xml:space="preserve">The adversary can author and publish a</w:t>
      </w:r>
      <w:r>
        <w:t xml:space="preserve"> </w:t>
      </w:r>
      <w:r>
        <w:t xml:space="preserve">primitive to a registry the victim trusts; can compromise a maintainer</w:t>
      </w:r>
      <w:r>
        <w:t xml:space="preserve"> </w:t>
      </w:r>
      <w:r>
        <w:t xml:space="preserve">account and push an updated primitive; can control a remote endpoint a</w:t>
      </w:r>
      <w:r>
        <w:t xml:space="preserve"> </w:t>
      </w:r>
      <w:r>
        <w:t xml:space="preserve">primitive references; and freely chooses the primitive’s prose,</w:t>
      </w:r>
      <w:r>
        <w:t xml:space="preserve"> </w:t>
      </w:r>
      <w:r>
        <w:t xml:space="preserve">encoding, Unicode codepoints, and naming. The adversary</w:t>
      </w:r>
      <w:r>
        <w:t xml:space="preserve"> </w:t>
      </w:r>
      <w:r>
        <w:rPr>
          <w:i/>
          <w:iCs/>
        </w:rPr>
        <w:t xml:space="preserve">cannot</w:t>
      </w:r>
      <w:r>
        <w:t xml:space="preserve"> </w:t>
      </w:r>
      <w:r>
        <w:t xml:space="preserve">break SHA-256, forge an Ed25519 signature, or alter a primitive’s bytes after</w:t>
      </w:r>
      <w:r>
        <w:t xml:space="preserve"> </w:t>
      </w:r>
      <w:r>
        <w:t xml:space="preserve">signing without detection: those failures are already covered by the</w:t>
      </w:r>
      <w:r>
        <w:t xml:space="preserve"> </w:t>
      </w:r>
      <w:r>
        <w:t xml:space="preserve">provenance controls this work builds on.</w:t>
      </w:r>
    </w:p>
    <w:bookmarkEnd w:id="21"/>
    <w:bookmarkStart w:id="22" w:name="trust-boundaries"/>
    <w:p>
      <w:pPr>
        <w:pStyle w:val="Heading4"/>
      </w:pPr>
      <w:r>
        <w:t xml:space="preserve">Trust boundaries</w:t>
      </w:r>
    </w:p>
    <w:p>
      <w:pPr>
        <w:pStyle w:val="FirstParagraph"/>
      </w:pPr>
      <w:r>
        <w:t xml:space="preserve">Control changes hands at four points: (1)</w:t>
      </w:r>
      <w:r>
        <w:t xml:space="preserve"> </w:t>
      </w:r>
      <w:r>
        <w:rPr>
          <w:i/>
          <w:iCs/>
        </w:rPr>
        <w:t xml:space="preserve">registry publish</w:t>
      </w:r>
      <w:r>
        <w:t xml:space="preserve">, where a primitive is admitted and signed; (2)</w:t>
      </w:r>
      <w:r>
        <w:t xml:space="preserve"> </w:t>
      </w:r>
      <w:r>
        <w:rPr>
          <w:i/>
          <w:iCs/>
        </w:rPr>
        <w:t xml:space="preserve">install / fetch</w:t>
      </w:r>
      <w:r>
        <w:t xml:space="preserve">, where a consumer pulls a Trust Bundle; (3)</w:t>
      </w:r>
      <w:r>
        <w:t xml:space="preserve"> </w:t>
      </w:r>
      <w:r>
        <w:rPr>
          <w:i/>
          <w:iCs/>
        </w:rPr>
        <w:t xml:space="preserve">agent load</w:t>
      </w:r>
      <w:r>
        <w:t xml:space="preserve">, where the prose becomes instruction; and (4)</w:t>
      </w:r>
      <w:r>
        <w:t xml:space="preserve"> </w:t>
      </w:r>
      <w:r>
        <w:rPr>
          <w:i/>
          <w:iCs/>
        </w:rPr>
        <w:t xml:space="preserve">runtime tool output</w:t>
      </w:r>
      <w:r>
        <w:t xml:space="preserve">, where a tool response re-enters the context.</w:t>
      </w:r>
      <w:r>
        <w:t xml:space="preserve"> </w:t>
      </w:r>
      <w:r>
        <w:t xml:space="preserve">The defenses in this paper act on primitive content at boundaries 1–3.</w:t>
      </w:r>
      <w:r>
        <w:t xml:space="preserve"> </w:t>
      </w:r>
      <w:r>
        <w:t xml:space="preserve">Boundary 4 is out of scope.</w:t>
      </w:r>
    </w:p>
    <w:bookmarkEnd w:id="22"/>
    <w:bookmarkStart w:id="23" w:name="protected-assets"/>
    <w:p>
      <w:pPr>
        <w:pStyle w:val="Heading4"/>
      </w:pPr>
      <w:r>
        <w:t xml:space="preserve">Protected assets</w:t>
      </w:r>
    </w:p>
    <w:p>
      <w:pPr>
        <w:pStyle w:val="FirstParagraph"/>
      </w:pPr>
      <w:r>
        <w:t xml:space="preserve">The attacker targets the agent’s</w:t>
      </w:r>
      <w:r>
        <w:t xml:space="preserve"> </w:t>
      </w:r>
      <w:r>
        <w:t xml:space="preserve">credentials and environment (secrets, tokens,</w:t>
      </w:r>
      <w:r>
        <w:t xml:space="preserve"> </w:t>
      </w:r>
      <w:r>
        <w:rPr>
          <w:rStyle w:val="VerbatimChar"/>
        </w:rPr>
        <w:t xml:space="preserve">.env</w:t>
      </w:r>
      <w:r>
        <w:t xml:space="preserve">, cloud</w:t>
      </w:r>
      <w:r>
        <w:t xml:space="preserve"> </w:t>
      </w:r>
      <w:r>
        <w:t xml:space="preserve">credentials), its tool-call and shell-execution capability, its policy</w:t>
      </w:r>
      <w:r>
        <w:t xml:space="preserve"> </w:t>
      </w:r>
      <w:r>
        <w:t xml:space="preserve">and system prompt, and its context budget. A successful attack makes the</w:t>
      </w:r>
      <w:r>
        <w:t xml:space="preserve"> </w:t>
      </w:r>
      <w:r>
        <w:t xml:space="preserve">agent take an action the primitive’s signer did not authorize.</w:t>
      </w:r>
    </w:p>
    <w:bookmarkEnd w:id="23"/>
    <w:bookmarkStart w:id="24" w:name="defender-assumptions"/>
    <w:p>
      <w:pPr>
        <w:pStyle w:val="Heading4"/>
      </w:pPr>
      <w:r>
        <w:t xml:space="preserve">Defender assumptions</w:t>
      </w:r>
    </w:p>
    <w:p>
      <w:pPr>
        <w:pStyle w:val="FirstParagraph"/>
      </w:pPr>
      <w:r>
        <w:t xml:space="preserve">The scanner sees a primitive’s exact</w:t>
      </w:r>
      <w:r>
        <w:t xml:space="preserve"> </w:t>
      </w:r>
      <w:r>
        <w:t xml:space="preserve">bytes before the agent loads them; the registry runs the Top 10 before</w:t>
      </w:r>
      <w:r>
        <w:t xml:space="preserve"> </w:t>
      </w:r>
      <w:r>
        <w:t xml:space="preserve">signing; detectors are deterministic and, on the in-sample slice, run</w:t>
      </w:r>
      <w:r>
        <w:t xml:space="preserve"> </w:t>
      </w:r>
      <w:r>
        <w:t xml:space="preserve">identically in both engines. We assume a human reviewer</w:t>
      </w:r>
      <w:r>
        <w:t xml:space="preserve"> </w:t>
      </w:r>
      <w:r>
        <w:rPr>
          <w:i/>
          <w:iCs/>
        </w:rPr>
        <w:t xml:space="preserve">cannot</w:t>
      </w:r>
      <w:r>
        <w:t xml:space="preserve"> </w:t>
      </w:r>
      <w:r>
        <w:t xml:space="preserve">reliably catch invisible Unicode, encoded payloads, or fabricated</w:t>
      </w:r>
      <w:r>
        <w:t xml:space="preserve"> </w:t>
      </w:r>
      <w:r>
        <w:t xml:space="preserve">authority by eye, which is precisely why a static layer is needed.</w:t>
      </w:r>
    </w:p>
    <w:bookmarkEnd w:id="24"/>
    <w:bookmarkStart w:id="25" w:name="non-goals"/>
    <w:p>
      <w:pPr>
        <w:pStyle w:val="Heading4"/>
      </w:pPr>
      <w:r>
        <w:t xml:space="preserve">Non-goals</w:t>
      </w:r>
    </w:p>
    <w:p>
      <w:pPr>
        <w:pStyle w:val="FirstParagraph"/>
      </w:pPr>
      <w:r>
        <w:t xml:space="preserve">Out of scope: runtime and indirect prompt</w:t>
      </w:r>
      <w:r>
        <w:t xml:space="preserve"> </w:t>
      </w:r>
      <w:r>
        <w:t xml:space="preserve">injection arriving through a tool response after signing; training-data</w:t>
      </w:r>
      <w:r>
        <w:t xml:space="preserve"> </w:t>
      </w:r>
      <w:r>
        <w:t xml:space="preserve">poisoning of the underlying</w:t>
      </w:r>
      <w:r>
        <w:t xml:space="preserve"> </w:t>
      </w:r>
      <w:r>
        <w:t xml:space="preserve">model </w:t>
      </w:r>
      <w:r>
        <w:t xml:space="preserve">[13]</w:t>
      </w:r>
      <w:r>
        <w:t xml:space="preserve">; retrieval-time poisoning</w:t>
      </w:r>
      <w:r>
        <w:t xml:space="preserve"> </w:t>
      </w:r>
      <w:r>
        <w:t xml:space="preserve">of documents fetched at query time; and any deployment with no static</w:t>
      </w:r>
      <w:r>
        <w:t xml:space="preserve"> </w:t>
      </w:r>
      <w:r>
        <w:t xml:space="preserve">scan in the agent’s load path. Each is a separate layer of the Trust</w:t>
      </w:r>
      <w:r>
        <w:t xml:space="preserve"> </w:t>
      </w:r>
      <w:r>
        <w:t xml:space="preserve">Runtime.</w:t>
      </w:r>
    </w:p>
    <w:bookmarkEnd w:id="25"/>
    <w:bookmarkEnd w:id="26"/>
    <w:bookmarkStart w:id="27" w:name="taxonomy-scope-and-governance"/>
    <w:p>
      <w:pPr>
        <w:pStyle w:val="Heading2"/>
      </w:pPr>
      <w:r>
        <w:t xml:space="preserve">Taxonomy scope and governance</w:t>
      </w:r>
    </w:p>
    <w:p>
      <w:pPr>
        <w:pStyle w:val="FirstParagraph"/>
      </w:pPr>
      <w:r>
        <w:t xml:space="preserve">The Context CI Top 10 is operational, not exhaustive. A category enters</w:t>
      </w:r>
      <w:r>
        <w:t xml:space="preserve"> </w:t>
      </w:r>
      <w:r>
        <w:t xml:space="preserve">only when it ships with a detector in both engines, at least three</w:t>
      </w:r>
      <w:r>
        <w:t xml:space="preserve"> </w:t>
      </w:r>
      <w:r>
        <w:t xml:space="preserve">adversarial corpus samples, at least two benign samples (to defend</w:t>
      </w:r>
      <w:r>
        <w:t xml:space="preserve"> </w:t>
      </w:r>
      <w:r>
        <w:t xml:space="preserve">precision), and at least one borderline sample where reasonable labelers</w:t>
      </w:r>
      <w:r>
        <w:t xml:space="preserve"> </w:t>
      </w:r>
      <w:r>
        <w:t xml:space="preserve">disagree. The regression gate (Section </w:t>
      </w:r>
      <w:hyperlink w:anchor="sec:implementation">
        <w:r>
          <w:rPr>
            <w:rStyle w:val="Hyperlink"/>
          </w:rPr>
          <w:t xml:space="preserve">5</w:t>
        </w:r>
      </w:hyperlink>
      <w:r>
        <w:t xml:space="preserve">) keeps</w:t>
      </w:r>
      <w:r>
        <w:t xml:space="preserve"> </w:t>
      </w:r>
      <w:r>
        <w:t xml:space="preserve">the taxonomy from growing on speculation: no measurement, no category.</w:t>
      </w:r>
      <w:r>
        <w:t xml:space="preserve"> </w:t>
      </w:r>
      <w:r>
        <w:t xml:space="preserve">An</w:t>
      </w:r>
      <w:r>
        <w:t xml:space="preserve"> </w:t>
      </w:r>
      <w:r>
        <w:t xml:space="preserve">“attack,”</w:t>
      </w:r>
      <w:r>
        <w:t xml:space="preserve"> </w:t>
      </w:r>
      <w:r>
        <w:t xml:space="preserve">throughout, is a primitive that, read as instruction,</w:t>
      </w:r>
      <w:r>
        <w:t xml:space="preserve"> </w:t>
      </w:r>
      <w:r>
        <w:t xml:space="preserve">causes an unauthorized action; the detectors below are the static checks</w:t>
      </w:r>
      <w:r>
        <w:t xml:space="preserve"> </w:t>
      </w:r>
      <w:r>
        <w:t xml:space="preserve">for the shapes that boundary failure takes.</w:t>
      </w:r>
    </w:p>
    <w:bookmarkEnd w:id="27"/>
    <w:bookmarkStart w:id="28" w:name="cci-001-prompt-injection-in-markdown"/>
    <w:p>
      <w:pPr>
        <w:pStyle w:val="Heading2"/>
      </w:pPr>
      <w:r>
        <w:t xml:space="preserve">CCI-001: Prompt injection in markdown</w:t>
      </w:r>
    </w:p>
    <w:p>
      <w:pPr>
        <w:pStyle w:val="FirstParagraph"/>
      </w:pPr>
      <w:r>
        <w:t xml:space="preserve">A primitive instructs the agent to override its system prompt or hijack</w:t>
      </w:r>
      <w:r>
        <w:t xml:space="preserve"> </w:t>
      </w:r>
      <w:r>
        <w:t xml:space="preserve">its role, classically opening with</w:t>
      </w:r>
      <w:r>
        <w:t xml:space="preserve"> </w:t>
      </w:r>
      <w:r>
        <w:t xml:space="preserve">“ignore previous instructions.”</w:t>
      </w:r>
      <w:r>
        <w:t xml:space="preserve"> </w:t>
      </w:r>
      <w:r>
        <w:t xml:space="preserve">The</w:t>
      </w:r>
      <w:r>
        <w:t xml:space="preserve"> </w:t>
      </w:r>
      <w:r>
        <w:t xml:space="preserve">detector (</w:t>
      </w:r>
      <w:r>
        <w:rPr>
          <w:rStyle w:val="VerbatimChar"/>
        </w:rPr>
        <w:t xml:space="preserve">t1.prompt_injection</w:t>
      </w:r>
      <w:r>
        <w:t xml:space="preserve"> </w:t>
      </w:r>
      <w:r>
        <w:t xml:space="preserve">v0.2.2) flags four</w:t>
      </w:r>
      <w:r>
        <w:t xml:space="preserve"> </w:t>
      </w:r>
      <w:r>
        <w:t xml:space="preserve">families:</w:t>
      </w:r>
      <w:r>
        <w:t xml:space="preserve"> </w:t>
      </w:r>
      <w:r>
        <w:rPr>
          <w:rStyle w:val="VerbatimChar"/>
        </w:rPr>
        <w:t xml:space="preserve">override-system-instructions</w:t>
      </w:r>
      <w:r>
        <w:t xml:space="preserve">,</w:t>
      </w:r>
      <w:r>
        <w:t xml:space="preserve"> </w:t>
      </w:r>
      <w:r>
        <w:rPr>
          <w:rStyle w:val="VerbatimChar"/>
        </w:rPr>
        <w:t xml:space="preserve">role-hijack</w:t>
      </w:r>
      <w:r>
        <w:t xml:space="preserve">,</w:t>
      </w:r>
      <w:r>
        <w:t xml:space="preserve"> </w:t>
      </w:r>
      <w:r>
        <w:t xml:space="preserve">hidden instructions in HTML comments or fenced</w:t>
      </w:r>
      <w:r>
        <w:t xml:space="preserve"> </w:t>
      </w:r>
      <w:r>
        <w:rPr>
          <w:rStyle w:val="VerbatimChar"/>
        </w:rPr>
        <w:t xml:space="preserve">system</w:t>
      </w:r>
      <w:r>
        <w:t xml:space="preserve"> </w:t>
      </w:r>
      <w:r>
        <w:t xml:space="preserve">markers,</w:t>
      </w:r>
      <w:r>
        <w:t xml:space="preserve"> </w:t>
      </w:r>
      <w:r>
        <w:t xml:space="preserve">and credential-exfiltration hints (which overlap CCI-006). It skips</w:t>
      </w:r>
      <w:r>
        <w:t xml:space="preserve"> </w:t>
      </w:r>
      <w:r>
        <w:t xml:space="preserve">matches inside fenced code and inside paired-quote enumerations, where</w:t>
      </w:r>
      <w:r>
        <w:t xml:space="preserve"> </w:t>
      </w:r>
      <w:r>
        <w:t xml:space="preserve">defender prose names an attack shape in order to refuse it.</w:t>
      </w:r>
    </w:p>
    <w:bookmarkEnd w:id="28"/>
    <w:bookmarkStart w:id="29" w:name="cci-002-unicode-steganography"/>
    <w:p>
      <w:pPr>
        <w:pStyle w:val="Heading2"/>
      </w:pPr>
      <w:r>
        <w:t xml:space="preserve">CCI-002: Unicode steganography</w:t>
      </w:r>
    </w:p>
    <w:p>
      <w:pPr>
        <w:pStyle w:val="FirstParagraph"/>
      </w:pPr>
      <w:r>
        <w:t xml:space="preserve">A primitive smuggles instructions through codepoints a human reviewer</w:t>
      </w:r>
      <w:r>
        <w:t xml:space="preserve"> </w:t>
      </w:r>
      <w:r>
        <w:t xml:space="preserve">cannot see: zero-width spaces, bidirectional overrides, stacked</w:t>
      </w:r>
      <w:r>
        <w:t xml:space="preserve"> </w:t>
      </w:r>
      <w:r>
        <w:t xml:space="preserve">combining marks. The detector</w:t>
      </w:r>
      <w:r>
        <w:t xml:space="preserve"> </w:t>
      </w:r>
      <w:r>
        <w:t xml:space="preserve">(</w:t>
      </w:r>
      <w:r>
        <w:rPr>
          <w:rStyle w:val="VerbatimChar"/>
        </w:rPr>
        <w:t xml:space="preserve">t2.unicode_steganography</w:t>
      </w:r>
      <w:r>
        <w:t xml:space="preserve"> </w:t>
      </w:r>
      <w:r>
        <w:t xml:space="preserve">v0.1.0) flags format, control,</w:t>
      </w:r>
      <w:r>
        <w:t xml:space="preserve"> </w:t>
      </w:r>
      <w:r>
        <w:t xml:space="preserve">and surrogate-class codepoints in body text, with a per-file threshold</w:t>
      </w:r>
      <w:r>
        <w:t xml:space="preserve"> </w:t>
      </w:r>
      <w:r>
        <w:t xml:space="preserve">so legitimately multilingual content does not trip it.</w:t>
      </w:r>
    </w:p>
    <w:bookmarkEnd w:id="29"/>
    <w:bookmarkStart w:id="30" w:name="cci-003-encoded-payloads"/>
    <w:p>
      <w:pPr>
        <w:pStyle w:val="Heading2"/>
      </w:pPr>
      <w:r>
        <w:t xml:space="preserve">CCI-003: Encoded payloads</w:t>
      </w:r>
    </w:p>
    <w:p>
      <w:pPr>
        <w:pStyle w:val="FirstParagraph"/>
      </w:pPr>
      <w:r>
        <w:t xml:space="preserve">A primitive embeds a base64, hex, URL-encoded, or rot13 blob and orders</w:t>
      </w:r>
      <w:r>
        <w:t xml:space="preserve"> </w:t>
      </w:r>
      <w:r>
        <w:t xml:space="preserve">the agent to decode and run it. The encoding hides the command from a</w:t>
      </w:r>
      <w:r>
        <w:t xml:space="preserve"> </w:t>
      </w:r>
      <w:r>
        <w:t xml:space="preserve">human reading rendered markdown; the agent decodes the same bytes. The</w:t>
      </w:r>
      <w:r>
        <w:t xml:space="preserve"> </w:t>
      </w:r>
      <w:r>
        <w:t xml:space="preserve">detector (</w:t>
      </w:r>
      <w:r>
        <w:rPr>
          <w:rStyle w:val="VerbatimChar"/>
        </w:rPr>
        <w:t xml:space="preserve">t3.encoded_payloads</w:t>
      </w:r>
      <w:r>
        <w:t xml:space="preserve"> </w:t>
      </w:r>
      <w:r>
        <w:t xml:space="preserve">v0.2.3) recognizes the</w:t>
      </w:r>
      <w:r>
        <w:t xml:space="preserve"> </w:t>
      </w:r>
      <w:r>
        <w:t xml:space="preserve">verb-anchored decode-and-execute construction across the four encoding</w:t>
      </w:r>
      <w:r>
        <w:t xml:space="preserve"> </w:t>
      </w:r>
      <w:r>
        <w:t xml:space="preserve">families and their participle forms.</w:t>
      </w:r>
    </w:p>
    <w:bookmarkEnd w:id="30"/>
    <w:bookmarkStart w:id="31" w:name="X86755228b45fa1d247fa169a90c194da7b53274"/>
    <w:p>
      <w:pPr>
        <w:pStyle w:val="Heading2"/>
      </w:pPr>
      <w:r>
        <w:t xml:space="preserve">CCI-004: Remote content fetching at load time</w:t>
      </w:r>
    </w:p>
    <w:p>
      <w:pPr>
        <w:pStyle w:val="FirstParagraph"/>
      </w:pPr>
      <w:r>
        <w:t xml:space="preserve">A primitive tells the agent to fetch an external resource at load time</w:t>
      </w:r>
      <w:r>
        <w:t xml:space="preserve"> </w:t>
      </w:r>
      <w:r>
        <w:t xml:space="preserve">and treat the response as instruction. The attacker controls what</w:t>
      </w:r>
      <w:r>
        <w:t xml:space="preserve"> </w:t>
      </w:r>
      <w:r>
        <w:t xml:space="preserve">arrives</w:t>
      </w:r>
      <w:r>
        <w:t xml:space="preserve"> </w:t>
      </w:r>
      <w:r>
        <w:rPr>
          <w:i/>
          <w:iCs/>
        </w:rPr>
        <w:t xml:space="preserve">after</w:t>
      </w:r>
      <w:r>
        <w:t xml:space="preserve"> </w:t>
      </w:r>
      <w:r>
        <w:t xml:space="preserve">the primitive was signed; the signature binds the</w:t>
      </w:r>
      <w:r>
        <w:t xml:space="preserve"> </w:t>
      </w:r>
      <w:r>
        <w:t xml:space="preserve">primitive’s bytes, not the bytes it later pulls in. The detector</w:t>
      </w:r>
      <w:r>
        <w:t xml:space="preserve"> </w:t>
      </w:r>
      <w:r>
        <w:t xml:space="preserve">(</w:t>
      </w:r>
      <w:r>
        <w:rPr>
          <w:rStyle w:val="VerbatimChar"/>
        </w:rPr>
        <w:t xml:space="preserve">t4.remote_fetch</w:t>
      </w:r>
      <w:r>
        <w:t xml:space="preserve"> </w:t>
      </w:r>
      <w:r>
        <w:t xml:space="preserve">v0.2.3) covers HTTP,</w:t>
      </w:r>
      <w:r>
        <w:t xml:space="preserve"> </w:t>
      </w:r>
      <w:r>
        <w:rPr>
          <w:rStyle w:val="VerbatimChar"/>
        </w:rPr>
        <w:t xml:space="preserve">file://</w:t>
      </w:r>
      <w:r>
        <w:t xml:space="preserve">,</w:t>
      </w:r>
      <w:r>
        <w:t xml:space="preserve"> </w:t>
      </w:r>
      <w:r>
        <w:t xml:space="preserve">WebSocket, SSE/EventSource, and HTML side-include shapes. The streaming</w:t>
      </w:r>
      <w:r>
        <w:t xml:space="preserve"> </w:t>
      </w:r>
      <w:r>
        <w:t xml:space="preserve">patterns require a temporal anchor so the detector does not fire on</w:t>
      </w:r>
      <w:r>
        <w:t xml:space="preserve"> </w:t>
      </w:r>
      <w:r>
        <w:t xml:space="preserve">prose that merely teaches the WebSocket API.</w:t>
      </w:r>
    </w:p>
    <w:bookmarkEnd w:id="31"/>
    <w:bookmarkStart w:id="32" w:name="cci-005-unsafe-shell-install"/>
    <w:p>
      <w:pPr>
        <w:pStyle w:val="Heading2"/>
      </w:pPr>
      <w:r>
        <w:t xml:space="preserve">CCI-005: Unsafe shell install</w:t>
      </w:r>
    </w:p>
    <w:p>
      <w:pPr>
        <w:pStyle w:val="FirstParagraph"/>
      </w:pPr>
      <w:r>
        <w:t xml:space="preserve">A well-known software supply-chain execution shape, recently</w:t>
      </w:r>
      <w:r>
        <w:t xml:space="preserve"> </w:t>
      </w:r>
      <w:r>
        <w:t xml:space="preserve">re-emphasized by npm worm campaigns such as</w:t>
      </w:r>
      <w:r>
        <w:t xml:space="preserve"> </w:t>
      </w:r>
      <w:r>
        <w:t xml:space="preserve">Shai-Hulud </w:t>
      </w:r>
      <w:r>
        <w:t xml:space="preserve">[9]</w:t>
      </w:r>
      <w:r>
        <w:t xml:space="preserve">: the curl-pipe-shell family. The detector</w:t>
      </w:r>
      <w:r>
        <w:t xml:space="preserve"> </w:t>
      </w:r>
      <w:r>
        <w:t xml:space="preserve">(</w:t>
      </w:r>
      <w:r>
        <w:rPr>
          <w:rStyle w:val="VerbatimChar"/>
        </w:rPr>
        <w:t xml:space="preserve">t5.unsafe_shell_install</w:t>
      </w:r>
      <w:r>
        <w:t xml:space="preserve"> </w:t>
      </w:r>
      <w:r>
        <w:t xml:space="preserve">v0.2.7) covers six families,</w:t>
      </w:r>
      <w:r>
        <w:t xml:space="preserve"> </w:t>
      </w:r>
      <w:r>
        <w:t xml:space="preserve">including network-piped shells, arbitrary</w:t>
      </w:r>
      <w:r>
        <w:t xml:space="preserve"> </w:t>
      </w:r>
      <w:r>
        <w:rPr>
          <w:rStyle w:val="VerbatimChar"/>
        </w:rPr>
        <w:t xml:space="preserve">npx</w:t>
      </w:r>
      <w:r>
        <w:t xml:space="preserve">/</w:t>
      </w:r>
      <w:r>
        <w:rPr>
          <w:rStyle w:val="VerbatimChar"/>
        </w:rPr>
        <w:t xml:space="preserve">pip</w:t>
      </w:r>
      <w:r>
        <w:t xml:space="preserve"> </w:t>
      </w:r>
      <w:r>
        <w:t xml:space="preserve">installs, the verb-anchored prose form,</w:t>
      </w:r>
      <w:r>
        <w:t xml:space="preserve"> </w:t>
      </w:r>
      <w:r>
        <w:rPr>
          <w:rStyle w:val="VerbatimChar"/>
        </w:rPr>
        <w:t xml:space="preserve">brew-install</w:t>
      </w:r>
      <w:r>
        <w:t xml:space="preserve">, and</w:t>
      </w:r>
      <w:r>
        <w:t xml:space="preserve"> </w:t>
      </w:r>
      <w:r>
        <w:rPr>
          <w:rStyle w:val="VerbatimChar"/>
        </w:rPr>
        <w:t xml:space="preserve">policy-bypass</w:t>
      </w:r>
      <w:r>
        <w:t xml:space="preserve"> </w:t>
      </w:r>
      <w:r>
        <w:t xml:space="preserve">(for example, a Gatekeeper disable paired with an</w:t>
      </w:r>
      <w:r>
        <w:t xml:space="preserve"> </w:t>
      </w:r>
      <w:r>
        <w:t xml:space="preserve">install). A directive-referenced-fence rule fires on a fenced install</w:t>
      </w:r>
      <w:r>
        <w:t xml:space="preserve"> </w:t>
      </w:r>
      <w:r>
        <w:t xml:space="preserve">command when the prose immediately above it issues the install order,</w:t>
      </w:r>
      <w:r>
        <w:t xml:space="preserve"> </w:t>
      </w:r>
      <w:r>
        <w:t xml:space="preserve">closing a blind spot where fenced commands slipped past the fence skip.</w:t>
      </w:r>
      <w:r>
        <w:t xml:space="preserve"> </w:t>
      </w:r>
      <w:r>
        <w:t xml:space="preserve">This is the broadest detector, and Section </w:t>
      </w:r>
      <w:hyperlink w:anchor="sec:evaluation">
        <w:r>
          <w:rPr>
            <w:rStyle w:val="Hyperlink"/>
          </w:rPr>
          <w:t xml:space="preserve">6</w:t>
        </w:r>
      </w:hyperlink>
      <w:r>
        <w:t xml:space="preserve"> </w:t>
      </w:r>
      <w:r>
        <w:t xml:space="preserve">reports</w:t>
      </w:r>
      <w:r>
        <w:t xml:space="preserve"> </w:t>
      </w:r>
      <w:r>
        <w:t xml:space="preserve">the one in-sample false positive it currently carries.</w:t>
      </w:r>
    </w:p>
    <w:bookmarkEnd w:id="32"/>
    <w:bookmarkStart w:id="33" w:name="X02d872c75a8bf763f8ed7d6de9dc2fafd4ee6a7"/>
    <w:p>
      <w:pPr>
        <w:pStyle w:val="Heading2"/>
      </w:pPr>
      <w:r>
        <w:t xml:space="preserve">CCI-006: Credential exfiltration via prose</w:t>
      </w:r>
    </w:p>
    <w:p>
      <w:pPr>
        <w:pStyle w:val="FirstParagraph"/>
      </w:pPr>
      <w:r>
        <w:t xml:space="preserve">A primitive tells the agent to read environment variables or credential</w:t>
      </w:r>
      <w:r>
        <w:t xml:space="preserve"> </w:t>
      </w:r>
      <w:r>
        <w:t xml:space="preserve">files and send them to an attacker endpoint. The detector</w:t>
      </w:r>
      <w:r>
        <w:t xml:space="preserve"> </w:t>
      </w:r>
      <w:r>
        <w:t xml:space="preserve">(</w:t>
      </w:r>
      <w:r>
        <w:rPr>
          <w:rStyle w:val="VerbatimChar"/>
        </w:rPr>
        <w:t xml:space="preserve">t6.credential_exfiltration</w:t>
      </w:r>
      <w:r>
        <w:t xml:space="preserve"> </w:t>
      </w:r>
      <w:r>
        <w:t xml:space="preserve">v0.2.2) recognizes four</w:t>
      </w:r>
      <w:r>
        <w:t xml:space="preserve"> </w:t>
      </w:r>
      <w:r>
        <w:t xml:space="preserve">families: a prose imperative to send secrets, network exfiltration with</w:t>
      </w:r>
      <w:r>
        <w:t xml:space="preserve"> </w:t>
      </w:r>
      <w:r>
        <w:t xml:space="preserve">the secret in the request body</w:t>
      </w:r>
      <w:r>
        <w:t xml:space="preserve"> </w:t>
      </w:r>
      <w:r>
        <w:rPr>
          <w:i/>
          <w:iCs/>
        </w:rPr>
        <w:t xml:space="preserve">or</w:t>
      </w:r>
      <w:r>
        <w:t xml:space="preserve"> </w:t>
      </w:r>
      <w:r>
        <w:t xml:space="preserve">the URL query string, hiding</w:t>
      </w:r>
      <w:r>
        <w:t xml:space="preserve"> </w:t>
      </w:r>
      <w:r>
        <w:t xml:space="preserve">the secret in the reply, and the scan-then-send pattern over</w:t>
      </w:r>
      <w:r>
        <w:t xml:space="preserve"> </w:t>
      </w:r>
      <w:r>
        <w:rPr>
          <w:rStyle w:val="VerbatimChar"/>
        </w:rPr>
        <w:t xml:space="preserve">.env</w:t>
      </w:r>
      <w:r>
        <w:t xml:space="preserve"> </w:t>
      </w:r>
      <w:r>
        <w:t xml:space="preserve">or</w:t>
      </w:r>
      <w:r>
        <w:t xml:space="preserve"> </w:t>
      </w:r>
      <w:r>
        <w:rPr>
          <w:rStyle w:val="VerbatimChar"/>
        </w:rPr>
        <w:t xml:space="preserve">~/.aws/credentials</w:t>
      </w:r>
      <w:r>
        <w:t xml:space="preserve">.</w:t>
      </w:r>
    </w:p>
    <w:bookmarkEnd w:id="33"/>
    <w:bookmarkStart w:id="34" w:name="X5444ca7938f30660f48eb0c0bfda03c4e28abae"/>
    <w:p>
      <w:pPr>
        <w:pStyle w:val="Heading2"/>
      </w:pPr>
      <w:r>
        <w:t xml:space="preserve">CCI-007: Poisoned naming and impersonation</w:t>
      </w:r>
    </w:p>
    <w:p>
      <w:pPr>
        <w:pStyle w:val="FirstParagraph"/>
      </w:pPr>
      <w:r>
        <w:t xml:space="preserve">A primitive impersonates a recognized vendor through explicit prose</w:t>
      </w:r>
      <w:r>
        <w:t xml:space="preserve"> </w:t>
      </w:r>
      <w:r>
        <w:t xml:space="preserve">(</w:t>
      </w:r>
      <w:r>
        <w:t xml:space="preserve">“the official Anthropic primitive”</w:t>
      </w:r>
      <w:r>
        <w:t xml:space="preserve">), digit-for-letter typosquats</w:t>
      </w:r>
      <w:r>
        <w:t xml:space="preserve"> </w:t>
      </w:r>
      <w:r>
        <w:t xml:space="preserve">(</w:t>
      </w:r>
      <w:r>
        <w:rPr>
          <w:rStyle w:val="VerbatimChar"/>
        </w:rPr>
        <w:t xml:space="preserve">Anthrop1c</w:t>
      </w:r>
      <w:r>
        <w:t xml:space="preserve">), or Unicode confusables (Cyrillic</w:t>
      </w:r>
      <w:r>
        <w:t xml:space="preserve"> </w:t>
      </w:r>
      <w:r>
        <w:rPr>
          <w:rStyle w:val="VerbatimChar"/>
        </w:rPr>
        <w:t xml:space="preserve">a</w:t>
      </w:r>
      <w:r>
        <w:t xml:space="preserve">, Greek</w:t>
      </w:r>
      <w:r>
        <w:t xml:space="preserve"> </w:t>
      </w:r>
      <w:r>
        <w:rPr>
          <w:rStyle w:val="VerbatimChar"/>
        </w:rPr>
        <w:t xml:space="preserve">e</w:t>
      </w:r>
      <w:r>
        <w:t xml:space="preserve">). The detector</w:t>
      </w:r>
      <w:r>
        <w:t xml:space="preserve"> </w:t>
      </w:r>
      <w:r>
        <w:t xml:space="preserve">(</w:t>
      </w:r>
      <w:r>
        <w:rPr>
          <w:rStyle w:val="VerbatimChar"/>
        </w:rPr>
        <w:t xml:space="preserve">t7.poisoned_naming</w:t>
      </w:r>
      <w:r>
        <w:t xml:space="preserve"> </w:t>
      </w:r>
      <w:r>
        <w:t xml:space="preserve">v0.3.2) implements the UTS #39</w:t>
      </w:r>
      <w:r>
        <w:t xml:space="preserve"> </w:t>
      </w:r>
      <w:r>
        <w:rPr>
          <w:i/>
          <w:iCs/>
        </w:rPr>
        <w:t xml:space="preserve">skeleton</w:t>
      </w:r>
      <w:r>
        <w:t xml:space="preserve"> </w:t>
      </w:r>
      <w:r>
        <w:t xml:space="preserve">method </w:t>
      </w:r>
      <w:r>
        <w:t xml:space="preserve">[15]</w:t>
      </w:r>
      <w:r>
        <w:t xml:space="preserve">: each word</w:t>
      </w:r>
      <w:r>
        <w:t xml:space="preserve"> </w:t>
      </w:r>
      <w:r>
        <w:t xml:space="preserve">with a non-ASCII codepoint is mapped through a confusables table and</w:t>
      </w:r>
      <w:r>
        <w:t xml:space="preserve"> </w:t>
      </w:r>
      <w:r>
        <w:t xml:space="preserve">compared against the precomputed skeletons of the project’s vendor</w:t>
      </w:r>
      <w:r>
        <w:t xml:space="preserve"> </w:t>
      </w:r>
      <w:r>
        <w:t xml:space="preserve">list. The list holds 36 vendors (35 single-word, skeleton-eligible);</w:t>
      </w:r>
      <w:r>
        <w:t xml:space="preserve"> </w:t>
      </w:r>
      <w:r>
        <w:t xml:space="preserve">adding a vendor extends coverage without authoring a new pattern.</w:t>
      </w:r>
    </w:p>
    <w:bookmarkEnd w:id="34"/>
    <w:bookmarkStart w:id="35" w:name="X959c22fb34cab8a812fec6a651c592220836776"/>
    <w:p>
      <w:pPr>
        <w:pStyle w:val="Heading2"/>
      </w:pPr>
      <w:r>
        <w:t xml:space="preserve">CCI-008: Fake citations and authority claims</w:t>
      </w:r>
    </w:p>
    <w:p>
      <w:pPr>
        <w:pStyle w:val="FirstParagraph"/>
      </w:pPr>
      <w:r>
        <w:t xml:space="preserve">A primitive cites a fabricated identifier from a real authority taxonomy</w:t>
      </w:r>
      <w:r>
        <w:t xml:space="preserve"> </w:t>
      </w:r>
      <w:r>
        <w:t xml:space="preserve">(CVE, RFC, arXiv, DOI, US patent) to manufacture authority for an</w:t>
      </w:r>
      <w:r>
        <w:t xml:space="preserve"> </w:t>
      </w:r>
      <w:r>
        <w:t xml:space="preserve">instruction the agent should refuse. The detector</w:t>
      </w:r>
      <w:r>
        <w:t xml:space="preserve"> </w:t>
      </w:r>
      <w:r>
        <w:t xml:space="preserve">(</w:t>
      </w:r>
      <w:r>
        <w:rPr>
          <w:rStyle w:val="VerbatimChar"/>
        </w:rPr>
        <w:t xml:space="preserve">t8.fake_citation</w:t>
      </w:r>
      <w:r>
        <w:t xml:space="preserve"> </w:t>
      </w:r>
      <w:r>
        <w:t xml:space="preserve">v0.2.3) runs validity passes per</w:t>
      </w:r>
      <w:r>
        <w:t xml:space="preserve"> </w:t>
      </w:r>
      <w:r>
        <w:t xml:space="preserve">scheme: a CVE with a year outside</w:t>
      </w:r>
      <w:r>
        <w:t xml:space="preserve"> </w:t>
      </w:r>
      <w:r>
        <w:rPr>
          <w:rStyle w:val="VerbatimChar"/>
        </w:rPr>
        <w:t xml:space="preserve">[1999, now+1]</w:t>
      </w:r>
      <w:r>
        <w:t xml:space="preserve"> </w:t>
      </w:r>
      <w:r>
        <w:t xml:space="preserve">(for example</w:t>
      </w:r>
      <w:r>
        <w:t xml:space="preserve"> </w:t>
      </w:r>
      <w:r>
        <w:t xml:space="preserve">CVE-2099-XXXXX), an out-of-range RFC or patent number, an impossible</w:t>
      </w:r>
      <w:r>
        <w:t xml:space="preserve"> </w:t>
      </w:r>
      <w:r>
        <w:t xml:space="preserve">arXiv month, or a DOI prefix absent from the registrar list. A sibling</w:t>
      </w:r>
      <w:r>
        <w:t xml:space="preserve"> </w:t>
      </w:r>
      <w:r>
        <w:t xml:space="preserve">pass flags vague authority appeals (</w:t>
      </w:r>
      <w:r>
        <w:t xml:space="preserve">“studies show”</w:t>
      </w:r>
      <w:r>
        <w:t xml:space="preserve">) with no resolvable</w:t>
      </w:r>
      <w:r>
        <w:t xml:space="preserve"> </w:t>
      </w:r>
      <w:r>
        <w:t xml:space="preserve">citation nearby, exempting quoted enumerations.</w:t>
      </w:r>
    </w:p>
    <w:bookmarkEnd w:id="35"/>
    <w:bookmarkStart w:id="36" w:name="cci-009-copyright-contamination"/>
    <w:p>
      <w:pPr>
        <w:pStyle w:val="Heading2"/>
      </w:pPr>
      <w:r>
        <w:t xml:space="preserve">CCI-009: Copyright contamination</w:t>
      </w:r>
    </w:p>
    <w:p>
      <w:pPr>
        <w:pStyle w:val="FirstParagraph"/>
      </w:pPr>
      <w:r>
        <w:t xml:space="preserve">A primitive launders license boilerplate into the session so the</w:t>
      </w:r>
      <w:r>
        <w:t xml:space="preserve"> </w:t>
      </w:r>
      <w:r>
        <w:t xml:space="preserve">agent’s outputs inherit license constraints, for example an embedded MIT</w:t>
      </w:r>
      <w:r>
        <w:t xml:space="preserve"> </w:t>
      </w:r>
      <w:r>
        <w:t xml:space="preserve">block or a viral noncommercial-ShareAlike clause asserting that</w:t>
      </w:r>
      <w:r>
        <w:t xml:space="preserve"> </w:t>
      </w:r>
      <w:r>
        <w:t xml:space="preserve">processing the primitive binds derived outputs. The detector</w:t>
      </w:r>
      <w:r>
        <w:t xml:space="preserve"> </w:t>
      </w:r>
      <w:r>
        <w:t xml:space="preserve">(</w:t>
      </w:r>
      <w:r>
        <w:rPr>
          <w:rStyle w:val="VerbatimChar"/>
        </w:rPr>
        <w:t xml:space="preserve">t9.copyright_contamination</w:t>
      </w:r>
      <w:r>
        <w:t xml:space="preserve"> </w:t>
      </w:r>
      <w:r>
        <w:t xml:space="preserve">v0.2.3) recognizes the</w:t>
      </w:r>
      <w:r>
        <w:t xml:space="preserve"> </w:t>
      </w:r>
      <w:r>
        <w:t xml:space="preserve">common license families and proprietary boilerplate, and skips</w:t>
      </w:r>
      <w:r>
        <w:t xml:space="preserve"> </w:t>
      </w:r>
      <w:r>
        <w:t xml:space="preserve">declarative mentions (</w:t>
      </w:r>
      <w:r>
        <w:t xml:space="preserve">“the project is licensed under CC-BY-4.0”</w:t>
      </w:r>
      <w:r>
        <w:t xml:space="preserve">) via a</w:t>
      </w:r>
      <w:r>
        <w:t xml:space="preserve"> </w:t>
      </w:r>
      <w:r>
        <w:t xml:space="preserve">semantic-context predicate.</w:t>
      </w:r>
    </w:p>
    <w:bookmarkEnd w:id="36"/>
    <w:bookmarkStart w:id="37" w:name="cci-010-context-bloat"/>
    <w:p>
      <w:pPr>
        <w:pStyle w:val="Heading2"/>
      </w:pPr>
      <w:r>
        <w:t xml:space="preserve">CCI-010: Context bloat</w:t>
      </w:r>
    </w:p>
    <w:p>
      <w:pPr>
        <w:pStyle w:val="FirstParagraph"/>
      </w:pPr>
      <w:r>
        <w:t xml:space="preserve">A primitive wastes the context budget or buries the live directive under</w:t>
      </w:r>
      <w:r>
        <w:t xml:space="preserve"> </w:t>
      </w:r>
      <w:r>
        <w:t xml:space="preserve">decorative content. The detector (</w:t>
      </w:r>
      <w:r>
        <w:rPr>
          <w:rStyle w:val="VerbatimChar"/>
        </w:rPr>
        <w:t xml:space="preserve">t10.context_bloat</w:t>
      </w:r>
      <w:r>
        <w:t xml:space="preserve"> </w:t>
      </w:r>
      <w:r>
        <w:t xml:space="preserve">v0.1.3) runs six passes: oversized content (32</w:t>
      </w:r>
      <w:r>
        <w:t xml:space="preserve">,</w:t>
      </w:r>
      <w:r>
        <w:t xml:space="preserve">000 characters),</w:t>
      </w:r>
      <w:r>
        <w:t xml:space="preserve"> </w:t>
      </w:r>
      <w:r>
        <w:t xml:space="preserve">excessive line repetition, whitespace stuffing, heading proliferation,</w:t>
      </w:r>
      <w:r>
        <w:t xml:space="preserve"> </w:t>
      </w:r>
      <w:r>
        <w:t xml:space="preserve">emoji density, and markdown-table density. All six raise a warning</w:t>
      </w:r>
      <w:r>
        <w:t xml:space="preserve"> </w:t>
      </w:r>
      <w:r>
        <w:t xml:space="preserve">rather than a failure, because budget waste is not active-attack code.</w:t>
      </w:r>
    </w:p>
    <w:bookmarkEnd w:id="37"/>
    <w:bookmarkStart w:id="38" w:name="subsec:not-in-taxonomy"/>
    <w:p>
      <w:pPr>
        <w:pStyle w:val="Heading2"/>
      </w:pPr>
      <w:r>
        <w:t xml:space="preserve">What is deliberately out of scope</w:t>
      </w:r>
    </w:p>
    <w:p>
      <w:pPr>
        <w:pStyle w:val="FirstParagraph"/>
      </w:pPr>
      <w:r>
        <w:t xml:space="preserve">The Top 10 is the static-detection slice. It does not cover runtime</w:t>
      </w:r>
      <w:r>
        <w:t xml:space="preserve"> </w:t>
      </w:r>
      <w:r>
        <w:t xml:space="preserve">injection arriving through a tool response after signing, training-data</w:t>
      </w:r>
      <w:r>
        <w:t xml:space="preserve"> </w:t>
      </w:r>
      <w:r>
        <w:t xml:space="preserve">poisoning of the model (which Carlini et al. show is practical at web</w:t>
      </w:r>
      <w:r>
        <w:t xml:space="preserve"> </w:t>
      </w:r>
      <w:r>
        <w:t xml:space="preserve">scale </w:t>
      </w:r>
      <w:r>
        <w:t xml:space="preserve">[13]</w:t>
      </w:r>
      <w:r>
        <w:t xml:space="preserve">), or retrieval-time</w:t>
      </w:r>
      <w:r>
        <w:t xml:space="preserve"> </w:t>
      </w:r>
      <w:r>
        <w:t xml:space="preserve">poisoning of documents fetched at query time. Each has its own layer in</w:t>
      </w:r>
      <w:r>
        <w:t xml:space="preserve"> </w:t>
      </w:r>
      <w:r>
        <w:t xml:space="preserve">the Trust Runtime. The crosswalk to the OWASP Top 10 for LLM</w:t>
      </w:r>
      <w:r>
        <w:t xml:space="preserve"> </w:t>
      </w:r>
      <w:r>
        <w:t xml:space="preserve">Applications </w:t>
      </w:r>
      <w:r>
        <w:t xml:space="preserve">[16]</w:t>
      </w:r>
      <w:r>
        <w:t xml:space="preserve"> </w:t>
      </w:r>
      <w:r>
        <w:t xml:space="preserve">records which OWASP categories</w:t>
      </w:r>
      <w:r>
        <w:t xml:space="preserve"> </w:t>
      </w:r>
      <w:r>
        <w:t xml:space="preserve">are runtime-only by design and therefore outside a content scan’s reach.</w:t>
      </w:r>
    </w:p>
    <w:bookmarkEnd w:id="38"/>
    <w:bookmarkEnd w:id="39"/>
    <w:bookmarkStart w:id="45" w:name="sec:system-design"/>
    <w:p>
      <w:pPr>
        <w:pStyle w:val="Heading1"/>
      </w:pPr>
      <w:r>
        <w:t xml:space="preserve">System Design</w:t>
      </w:r>
    </w:p>
    <w:bookmarkStart w:id="40" w:name="the-trust-runtime-three-pillars"/>
    <w:p>
      <w:pPr>
        <w:pStyle w:val="Heading2"/>
      </w:pPr>
      <w:r>
        <w:t xml:space="preserve">The Trust Runtime: three pillars</w:t>
      </w:r>
    </w:p>
    <w:p>
      <w:pPr>
        <w:pStyle w:val="FirstParagraph"/>
      </w:pPr>
      <w:r>
        <w:t xml:space="preserve">PrimitiveHub’s defense rests on three pillars, each answering a question</w:t>
      </w:r>
      <w:r>
        <w:t xml:space="preserve"> </w:t>
      </w:r>
      <w:r>
        <w:t xml:space="preserve">the others do not.</w:t>
      </w:r>
    </w:p>
    <w:p>
      <w:pPr>
        <w:pStyle w:val="BodyText"/>
      </w:pPr>
      <w:r>
        <w:t xml:space="preserve">The</w:t>
      </w:r>
      <w:r>
        <w:t xml:space="preserve"> </w:t>
      </w:r>
      <w:r>
        <w:rPr>
          <w:i/>
          <w:iCs/>
        </w:rPr>
        <w:t xml:space="preserve">Trust Contract</w:t>
      </w:r>
      <w:r>
        <w:t xml:space="preserve"> </w:t>
      </w:r>
      <w:r>
        <w:t xml:space="preserve">[17]</w:t>
      </w:r>
      <w:r>
        <w:t xml:space="preserve"> </w:t>
      </w:r>
      <w:r>
        <w:t xml:space="preserve">is the</w:t>
      </w:r>
      <w:r>
        <w:t xml:space="preserve"> </w:t>
      </w:r>
      <w:r>
        <w:t xml:space="preserve">wire format and attestation chain. Every primitive carries a</w:t>
      </w:r>
      <w:r>
        <w:t xml:space="preserve"> </w:t>
      </w:r>
      <w:r>
        <w:t xml:space="preserve">content digest (SHA-256 over canonical bytes), an Ed25519 signature produced</w:t>
      </w:r>
      <w:r>
        <w:t xml:space="preserve"> </w:t>
      </w:r>
      <w:r>
        <w:t xml:space="preserve">through Sigstore keyless OIDC </w:t>
      </w:r>
      <w:r>
        <w:t xml:space="preserve">[3]</w:t>
      </w:r>
      <w:r>
        <w:t xml:space="preserve">, and</w:t>
      </w:r>
      <w:r>
        <w:t xml:space="preserve"> </w:t>
      </w:r>
      <w:r>
        <w:t xml:space="preserve">an in-toto attestation </w:t>
      </w:r>
      <w:r>
        <w:t xml:space="preserve">[2]</w:t>
      </w:r>
      <w:r>
        <w:t xml:space="preserve"> </w:t>
      </w:r>
      <w:r>
        <w:t xml:space="preserve">recording the</w:t>
      </w:r>
      <w:r>
        <w:t xml:space="preserve"> </w:t>
      </w:r>
      <w:r>
        <w:t xml:space="preserve">detector verdicts, the reviewer identity, the Context Bill of Materials</w:t>
      </w:r>
      <w:r>
        <w:t xml:space="preserve"> </w:t>
      </w:r>
      <w:r>
        <w:t xml:space="preserve">digest, and the publish timestamp. The Trust Contract answers</w:t>
      </w:r>
      <w:r>
        <w:t xml:space="preserve"> </w:t>
      </w:r>
      <w:r>
        <w:rPr>
          <w:i/>
          <w:iCs/>
        </w:rPr>
        <w:t xml:space="preserve">who</w:t>
      </w:r>
      <w:r>
        <w:rPr>
          <w:i/>
          <w:iCs/>
        </w:rPr>
        <w:t xml:space="preserve"> </w:t>
      </w:r>
      <w:r>
        <w:rPr>
          <w:i/>
          <w:iCs/>
        </w:rPr>
        <w:t xml:space="preserve">signed this, and what bytes did they sign?</w:t>
      </w:r>
    </w:p>
    <w:p>
      <w:pPr>
        <w:pStyle w:val="BodyText"/>
      </w:pPr>
      <w:r>
        <w:t xml:space="preserve">The</w:t>
      </w:r>
      <w:r>
        <w:t xml:space="preserve"> </w:t>
      </w:r>
      <w:r>
        <w:rPr>
          <w:i/>
          <w:iCs/>
        </w:rPr>
        <w:t xml:space="preserve">Context CI Top 10</w:t>
      </w:r>
      <w:r>
        <w:t xml:space="preserve"> </w:t>
      </w:r>
      <w:r>
        <w:t xml:space="preserve">(Section </w:t>
      </w:r>
      <w:hyperlink w:anchor="sec:threat-model">
        <w:r>
          <w:rPr>
            <w:rStyle w:val="Hyperlink"/>
          </w:rPr>
          <w:t xml:space="preserve">3</w:t>
        </w:r>
      </w:hyperlink>
      <w:r>
        <w:t xml:space="preserve">) is the</w:t>
      </w:r>
      <w:r>
        <w:t xml:space="preserve"> </w:t>
      </w:r>
      <w:r>
        <w:t xml:space="preserve">static pass that runs before signing. Every primitive entering the</w:t>
      </w:r>
      <w:r>
        <w:t xml:space="preserve"> </w:t>
      </w:r>
      <w:r>
        <w:t xml:space="preserve">registry passes through all ten detectors, and their verdicts are</w:t>
      </w:r>
      <w:r>
        <w:t xml:space="preserve"> </w:t>
      </w:r>
      <w:r>
        <w:t xml:space="preserve">written into the attestation. The Top 10 answers</w:t>
      </w:r>
      <w:r>
        <w:t xml:space="preserve"> </w:t>
      </w:r>
      <w:r>
        <w:rPr>
          <w:i/>
          <w:iCs/>
        </w:rPr>
        <w:t xml:space="preserve">do the contents,</w:t>
      </w:r>
      <w:r>
        <w:rPr>
          <w:i/>
          <w:iCs/>
        </w:rPr>
        <w:t xml:space="preserve"> </w:t>
      </w:r>
      <w:r>
        <w:rPr>
          <w:i/>
          <w:iCs/>
        </w:rPr>
        <w:t xml:space="preserve">read as instruction, cross a threat-model line?</w:t>
      </w:r>
    </w:p>
    <w:p>
      <w:pPr>
        <w:pStyle w:val="BodyText"/>
      </w:pPr>
      <w:r>
        <w:t xml:space="preserve">The</w:t>
      </w:r>
      <w:r>
        <w:t xml:space="preserve"> </w:t>
      </w:r>
      <w:r>
        <w:rPr>
          <w:i/>
          <w:iCs/>
        </w:rPr>
        <w:t xml:space="preserve">Context Bill of Materials</w:t>
      </w:r>
      <w:r>
        <w:t xml:space="preserve"> </w:t>
      </w:r>
      <w:r>
        <w:t xml:space="preserve">(CBOM) is the inventory each Trust</w:t>
      </w:r>
      <w:r>
        <w:t xml:space="preserve"> </w:t>
      </w:r>
      <w:r>
        <w:t xml:space="preserve">Bundle carries: the context components a primitive references, their</w:t>
      </w:r>
      <w:r>
        <w:t xml:space="preserve"> </w:t>
      </w:r>
      <w:r>
        <w:t xml:space="preserve">classifications, digests, sizes, and pointers to their own attestations.</w:t>
      </w:r>
      <w:r>
        <w:t xml:space="preserve"> </w:t>
      </w:r>
      <w:r>
        <w:t xml:space="preserve">A consumer knows what they load before they load it. The CBOM answers</w:t>
      </w:r>
      <w:r>
        <w:t xml:space="preserve"> </w:t>
      </w:r>
      <w:r>
        <w:rPr>
          <w:i/>
          <w:iCs/>
        </w:rPr>
        <w:t xml:space="preserve">what is in here?</w:t>
      </w:r>
    </w:p>
    <w:p>
      <w:pPr>
        <w:pStyle w:val="BodyText"/>
      </w:pPr>
      <w:r>
        <w:t xml:space="preserve">The pillars compose. A signed Trust Contract carries an attestation that</w:t>
      </w:r>
      <w:r>
        <w:t xml:space="preserve"> </w:t>
      </w:r>
      <w:r>
        <w:t xml:space="preserve">cites the Top 10 verdicts and the CBOM digest. At the registry boundary,</w:t>
      </w:r>
      <w:r>
        <w:t xml:space="preserve"> </w:t>
      </w:r>
      <w:r>
        <w:t xml:space="preserve">the verifier checks the signature, re-runs the Top 10 against the</w:t>
      </w:r>
      <w:r>
        <w:t xml:space="preserve"> </w:t>
      </w:r>
      <w:r>
        <w:t xml:space="preserve">content, then walks the CBOM to verify component provenance. The shape</w:t>
      </w:r>
      <w:r>
        <w:t xml:space="preserve"> </w:t>
      </w:r>
      <w:r>
        <w:t xml:space="preserve">mirrors SLSA’s build-provenance chain </w:t>
      </w:r>
      <w:r>
        <w:t xml:space="preserve">[1]</w:t>
      </w:r>
      <w:r>
        <w:t xml:space="preserve">,</w:t>
      </w:r>
      <w:r>
        <w:t xml:space="preserve"> </w:t>
      </w:r>
      <w:r>
        <w:t xml:space="preserve">extended to the semantic-content layer the existing controls leave</w:t>
      </w:r>
      <w:r>
        <w:t xml:space="preserve"> </w:t>
      </w:r>
      <w:r>
        <w:t xml:space="preserve">uncovered.</w:t>
      </w:r>
    </w:p>
    <w:p>
      <w:pPr>
        <w:pStyle w:val="BodyText"/>
      </w:pPr>
      <w:r>
        <w:t xml:space="preserve">We are precise about</w:t>
      </w:r>
      <w:r>
        <w:t xml:space="preserve"> </w:t>
      </w:r>
      <w:r>
        <w:rPr>
          <w:i/>
          <w:iCs/>
        </w:rPr>
        <w:t xml:space="preserve">where</w:t>
      </w:r>
      <w:r>
        <w:t xml:space="preserve"> </w:t>
      </w:r>
      <w:r>
        <w:t xml:space="preserve">each check runs, because security</w:t>
      </w:r>
      <w:r>
        <w:t xml:space="preserve"> </w:t>
      </w:r>
      <w:r>
        <w:t xml:space="preserve">properties live at enforcement points. The Top 10 runs in full at two</w:t>
      </w:r>
      <w:r>
        <w:t xml:space="preserve"> </w:t>
      </w:r>
      <w:r>
        <w:t xml:space="preserve">places: at registry publish, before signing, and inside the</w:t>
      </w:r>
      <w:r>
        <w:t xml:space="preserve"> </w:t>
      </w:r>
      <w:r>
        <w:rPr>
          <w:rStyle w:val="VerbatimChar"/>
        </w:rPr>
        <w:t xml:space="preserve">phub</w:t>
      </w:r>
      <w:r>
        <w:t xml:space="preserve"> </w:t>
      </w:r>
      <w:r>
        <w:t xml:space="preserve">on-demand audit over a working tree. The agent-side</w:t>
      </w:r>
      <w:r>
        <w:t xml:space="preserve"> </w:t>
      </w:r>
      <w:r>
        <w:rPr>
          <w:rStyle w:val="VerbatimChar"/>
        </w:rPr>
        <w:t xml:space="preserve">verify_before_load</w:t>
      </w:r>
      <w:r>
        <w:t xml:space="preserve"> </w:t>
      </w:r>
      <w:r>
        <w:t xml:space="preserve">gate currently enforces signature and</w:t>
      </w:r>
      <w:r>
        <w:t xml:space="preserve"> </w:t>
      </w:r>
      <w:r>
        <w:t xml:space="preserve">lock-file digest integrity plus the working-tree audit it wraps;</w:t>
      </w:r>
      <w:r>
        <w:t xml:space="preserve"> </w:t>
      </w:r>
      <w:r>
        <w:t xml:space="preserve">re-running the Top 10</w:t>
      </w:r>
      <w:r>
        <w:t xml:space="preserve"> </w:t>
      </w:r>
      <w:r>
        <w:rPr>
          <w:i/>
          <w:iCs/>
        </w:rPr>
        <w:t xml:space="preserve">inside the MCP server at the moment of load</w:t>
      </w:r>
      <w:r>
        <w:t xml:space="preserve"> </w:t>
      </w:r>
      <w:r>
        <w:t xml:space="preserve">is partially implemented and tracked as planned work</w:t>
      </w:r>
      <w:r>
        <w:t xml:space="preserve"> </w:t>
      </w:r>
      <w:r>
        <w:t xml:space="preserve">(Section </w:t>
      </w:r>
      <w:hyperlink w:anchor="sec:conclusion">
        <w:r>
          <w:rPr>
            <w:rStyle w:val="Hyperlink"/>
          </w:rPr>
          <w:t xml:space="preserve">9</w:t>
        </w:r>
      </w:hyperlink>
      <w:r>
        <w:t xml:space="preserve">). A reader should therefore not assume the</w:t>
      </w:r>
      <w:r>
        <w:t xml:space="preserve"> </w:t>
      </w:r>
      <w:r>
        <w:t xml:space="preserve">load-time gate re-derives every detector verdict; it verifies that the</w:t>
      </w:r>
      <w:r>
        <w:t xml:space="preserve"> </w:t>
      </w:r>
      <w:r>
        <w:t xml:space="preserve">bytes match a previously attested, scanned digest.</w:t>
      </w:r>
    </w:p>
    <w:bookmarkEnd w:id="40"/>
    <w:bookmarkStart w:id="41" w:name="Xd74559c65167e042b0f9ac2f4a606c7d41264b4"/>
    <w:p>
      <w:pPr>
        <w:pStyle w:val="Heading2"/>
      </w:pPr>
      <w:r>
        <w:t xml:space="preserve">One environment variable for the signing backend</w:t>
      </w:r>
    </w:p>
    <w:p>
      <w:pPr>
        <w:pStyle w:val="FirstParagraph"/>
      </w:pPr>
      <w:r>
        <w:t xml:space="preserve">The signing backend is configuration, not a code path. A single setting</w:t>
      </w:r>
      <w:r>
        <w:t xml:space="preserve"> </w:t>
      </w:r>
      <w:r>
        <w:t xml:space="preserve">selects the public Sigstore (Fulcio + Rekor) for the launched registry,</w:t>
      </w:r>
      <w:r>
        <w:t xml:space="preserve"> </w:t>
      </w:r>
      <w:r>
        <w:t xml:space="preserve">Sigstore’s staging environment for development and CI, or a self-hosted</w:t>
      </w:r>
      <w:r>
        <w:t xml:space="preserve"> </w:t>
      </w:r>
      <w:r>
        <w:t xml:space="preserve">Sigstore for enterprises whose author identities cannot appear in the</w:t>
      </w:r>
      <w:r>
        <w:t xml:space="preserve"> </w:t>
      </w:r>
      <w:r>
        <w:t xml:space="preserve">public transparency log. The sign-call code never branches on backend,</w:t>
      </w:r>
      <w:r>
        <w:t xml:space="preserve"> </w:t>
      </w:r>
      <w:r>
        <w:t xml:space="preserve">and verification reads the same wire format regardless.</w:t>
      </w:r>
    </w:p>
    <w:bookmarkEnd w:id="41"/>
    <w:bookmarkStart w:id="42" w:name="Xee3cfabfb001d23524866199fa0b2bc466c37b8"/>
    <w:p>
      <w:pPr>
        <w:pStyle w:val="Heading2"/>
      </w:pPr>
      <w:r>
        <w:t xml:space="preserve">Active surfaces, not just a publish-time linter</w:t>
      </w:r>
    </w:p>
    <w:p>
      <w:pPr>
        <w:pStyle w:val="FirstParagraph"/>
      </w:pPr>
      <w:r>
        <w:t xml:space="preserve">A registry that validates only at publish time leaves the agent’s</w:t>
      </w:r>
      <w:r>
        <w:t xml:space="preserve"> </w:t>
      </w:r>
      <w:r>
        <w:t xml:space="preserve">runtime path undefended. PrimitiveHub ships five surfaces, each mapped</w:t>
      </w:r>
      <w:r>
        <w:t xml:space="preserve"> </w:t>
      </w:r>
      <w:r>
        <w:t xml:space="preserve">to a slot in the antivirus product family:</w:t>
      </w:r>
    </w:p>
    <w:p>
      <w:pPr>
        <w:numPr>
          <w:ilvl w:val="0"/>
          <w:numId w:val="1001"/>
        </w:numPr>
      </w:pPr>
      <w:r>
        <w:rPr>
          <w:rStyle w:val="VerbatimChar"/>
        </w:rPr>
        <w:t xml:space="preserve">phub audit</w:t>
      </w:r>
      <w:r>
        <w:t xml:space="preserve">: a recursive on-demand scanner that walks</w:t>
      </w:r>
      <w:r>
        <w:t xml:space="preserve"> </w:t>
      </w:r>
      <w:r>
        <w:t xml:space="preserve">the working tree, classifies every agent-context artifact, and</w:t>
      </w:r>
      <w:r>
        <w:t xml:space="preserve"> </w:t>
      </w:r>
      <w:r>
        <w:t xml:space="preserve">runs all ten detectors.</w:t>
      </w:r>
    </w:p>
    <w:p>
      <w:pPr>
        <w:numPr>
          <w:ilvl w:val="0"/>
          <w:numId w:val="1001"/>
        </w:numPr>
      </w:pPr>
      <w:r>
        <w:rPr>
          <w:rStyle w:val="VerbatimChar"/>
        </w:rPr>
        <w:t xml:space="preserve">phub lock</w:t>
      </w:r>
      <w:r>
        <w:t xml:space="preserve">: deterministic state capture; it records each</w:t>
      </w:r>
      <w:r>
        <w:t xml:space="preserve"> </w:t>
      </w:r>
      <w:r>
        <w:t xml:space="preserve">primitive’s content digest so later runs detect drift.</w:t>
      </w:r>
    </w:p>
    <w:p>
      <w:pPr>
        <w:numPr>
          <w:ilvl w:val="0"/>
          <w:numId w:val="1001"/>
        </w:numPr>
      </w:pPr>
      <w:r>
        <w:rPr>
          <w:rStyle w:val="VerbatimChar"/>
        </w:rPr>
        <w:t xml:space="preserve">phub watch</w:t>
      </w:r>
      <w:r>
        <w:t xml:space="preserve">: an on-access guard that re-scans primitives</w:t>
      </w:r>
      <w:r>
        <w:t xml:space="preserve"> </w:t>
      </w:r>
      <w:r>
        <w:t xml:space="preserve">on file-system change events.</w:t>
      </w:r>
    </w:p>
    <w:p>
      <w:pPr>
        <w:numPr>
          <w:ilvl w:val="0"/>
          <w:numId w:val="1001"/>
        </w:numPr>
      </w:pPr>
      <w:r>
        <w:rPr>
          <w:rStyle w:val="VerbatimChar"/>
        </w:rPr>
        <w:t xml:space="preserve">phub install</w:t>
      </w:r>
      <w:r>
        <w:t xml:space="preserve">: a safe-install wrapper that verifies a</w:t>
      </w:r>
      <w:r>
        <w:t xml:space="preserve"> </w:t>
      </w:r>
      <w:r>
        <w:t xml:space="preserve">Trust Bundle, runs the Top 10, and writes to disk only on a</w:t>
      </w:r>
      <w:r>
        <w:t xml:space="preserve"> </w:t>
      </w:r>
      <w:r>
        <w:t xml:space="preserve">clean verdict.</w:t>
      </w:r>
    </w:p>
    <w:p>
      <w:pPr>
        <w:numPr>
          <w:ilvl w:val="0"/>
          <w:numId w:val="1001"/>
        </w:numPr>
      </w:pPr>
      <w:r>
        <w:t xml:space="preserve">The MCP</w:t>
      </w:r>
      <w:r>
        <w:t xml:space="preserve"> </w:t>
      </w:r>
      <w:r>
        <w:rPr>
          <w:rStyle w:val="VerbatimChar"/>
        </w:rPr>
        <w:t xml:space="preserve">verify_before_load</w:t>
      </w:r>
      <w:r>
        <w:t xml:space="preserve"> </w:t>
      </w:r>
      <w:r>
        <w:t xml:space="preserve">gate: a runtime check an</w:t>
      </w:r>
      <w:r>
        <w:t xml:space="preserve"> </w:t>
      </w:r>
      <w:r>
        <w:t xml:space="preserve">agent calls before loading a primitive. It rejects unsigned</w:t>
      </w:r>
      <w:r>
        <w:t xml:space="preserve"> </w:t>
      </w:r>
      <w:r>
        <w:t xml:space="preserve">content and content whose on-disk bytes diverge from the</w:t>
      </w:r>
      <w:r>
        <w:t xml:space="preserve"> </w:t>
      </w:r>
      <w:r>
        <w:t xml:space="preserve">attested lock-file digest. Load-time Top 10 re-scanning inside</w:t>
      </w:r>
      <w:r>
        <w:t xml:space="preserve"> </w:t>
      </w:r>
      <w:r>
        <w:t xml:space="preserve">the gate is partially implemented (the detectors are exposed</w:t>
      </w:r>
      <w:r>
        <w:t xml:space="preserve"> </w:t>
      </w:r>
      <w:r>
        <w:t xml:space="preserve">separately as the</w:t>
      </w:r>
      <w:r>
        <w:t xml:space="preserve"> </w:t>
      </w:r>
      <w:r>
        <w:rPr>
          <w:rStyle w:val="VerbatimChar"/>
        </w:rPr>
        <w:t xml:space="preserve">scan_text</w:t>
      </w:r>
      <w:r>
        <w:t xml:space="preserve"> </w:t>
      </w:r>
      <w:r>
        <w:t xml:space="preserve">tool).</w:t>
      </w:r>
    </w:p>
    <w:p>
      <w:pPr>
        <w:pStyle w:val="FirstParagraph"/>
      </w:pPr>
      <w:r>
        <w:t xml:space="preserve">Each surface declares itself active (it discovers its own targets) or</w:t>
      </w:r>
      <w:r>
        <w:t xml:space="preserve"> </w:t>
      </w:r>
      <w:r>
        <w:t xml:space="preserve">passive (it waits for a named target). The surface budget is capped: a</w:t>
      </w:r>
      <w:r>
        <w:t xml:space="preserve"> </w:t>
      </w:r>
      <w:r>
        <w:t xml:space="preserve">new surface ships only when it occupies an AV-family slot nothing else</w:t>
      </w:r>
      <w:r>
        <w:t xml:space="preserve"> </w:t>
      </w:r>
      <w:r>
        <w:t xml:space="preserve">holds. Engine depth (more detectors, more corpus, more ledger entries)</w:t>
      </w:r>
      <w:r>
        <w:t xml:space="preserve"> </w:t>
      </w:r>
      <w:r>
        <w:t xml:space="preserve">is unconstrained; surface breadth is taxed, because a passive tool</w:t>
      </w:r>
      <w:r>
        <w:t xml:space="preserve"> </w:t>
      </w:r>
      <w:r>
        <w:t xml:space="preserve">cannot defend the file the user did not know to scan.</w:t>
      </w:r>
    </w:p>
    <w:bookmarkEnd w:id="42"/>
    <w:bookmarkStart w:id="43" w:name="a-public-anonymous-lookup"/>
    <w:p>
      <w:pPr>
        <w:pStyle w:val="Heading2"/>
      </w:pPr>
      <w:r>
        <w:t xml:space="preserve">A public, anonymous lookup</w:t>
      </w:r>
    </w:p>
    <w:p>
      <w:pPr>
        <w:pStyle w:val="FirstParagraph"/>
      </w:pPr>
      <w:r>
        <w:t xml:space="preserve">The</w:t>
      </w:r>
      <w:r>
        <w:t xml:space="preserve"> </w:t>
      </w:r>
      <w:r>
        <w:rPr>
          <w:rStyle w:val="VerbatimChar"/>
        </w:rPr>
        <w:t xml:space="preserve">/check</w:t>
      </w:r>
      <w:r>
        <w:t xml:space="preserve"> </w:t>
      </w:r>
      <w:r>
        <w:t xml:space="preserve">route is a paste-and-verdict surface. A user pastes</w:t>
      </w:r>
      <w:r>
        <w:t xml:space="preserve"> </w:t>
      </w:r>
      <w:r>
        <w:t xml:space="preserve">a snippet, a URL, an</w:t>
      </w:r>
      <w:r>
        <w:t xml:space="preserve"> </w:t>
      </w:r>
      <w:r>
        <w:rPr>
          <w:rStyle w:val="VerbatimChar"/>
        </w:rPr>
        <w:t xml:space="preserve">npx</w:t>
      </w:r>
      <w:r>
        <w:t xml:space="preserve"> </w:t>
      </w:r>
      <w:r>
        <w:t xml:space="preserve">command, or a repository reference;</w:t>
      </w:r>
      <w:r>
        <w:t xml:space="preserve"> </w:t>
      </w:r>
      <w:r>
        <w:t xml:space="preserve">the server detects the input mode, dispatches to the right scanner, and</w:t>
      </w:r>
      <w:r>
        <w:t xml:space="preserve"> </w:t>
      </w:r>
      <w:r>
        <w:t xml:space="preserve">returns a per-detector, per-file verdict. The route has no</w:t>
      </w:r>
      <w:r>
        <w:t xml:space="preserve"> </w:t>
      </w:r>
      <w:r>
        <w:t xml:space="preserve">authentication, stores no session state, and never executes the pasted</w:t>
      </w:r>
      <w:r>
        <w:t xml:space="preserve"> </w:t>
      </w:r>
      <w:r>
        <w:t xml:space="preserve">content. Two report buttons let a viewer dispute a verdict by opening a</w:t>
      </w:r>
      <w:r>
        <w:t xml:space="preserve"> </w:t>
      </w:r>
      <w:r>
        <w:t xml:space="preserve">prefilled issue carrying the input, the verdict snapshot, and the</w:t>
      </w:r>
      <w:r>
        <w:t xml:space="preserve"> </w:t>
      </w:r>
      <w:r>
        <w:t xml:space="preserve">four-path triage template. The result is an AV-style false-positive and</w:t>
      </w:r>
      <w:r>
        <w:t xml:space="preserve"> </w:t>
      </w:r>
      <w:r>
        <w:t xml:space="preserve">false-negative submission portal, implemented as a client-side prefill</w:t>
      </w:r>
      <w:r>
        <w:t xml:space="preserve"> </w:t>
      </w:r>
      <w:r>
        <w:t xml:space="preserve">rather than a server-side ingestion route.</w:t>
      </w:r>
    </w:p>
    <w:bookmarkEnd w:id="43"/>
    <w:bookmarkStart w:id="44" w:name="scanner-as-product-discipline"/>
    <w:p>
      <w:pPr>
        <w:pStyle w:val="Heading2"/>
      </w:pPr>
      <w:r>
        <w:t xml:space="preserve">Scanner-as-product discipline</w:t>
      </w:r>
    </w:p>
    <w:p>
      <w:pPr>
        <w:pStyle w:val="FirstParagraph"/>
      </w:pPr>
      <w:r>
        <w:t xml:space="preserve">Framing PrimitiveHub as agent-context antivirus plus a registry is</w:t>
      </w:r>
      <w:r>
        <w:t xml:space="preserve"> </w:t>
      </w:r>
      <w:r>
        <w:t xml:space="preserve">operationally load-bearing: it imports specific disciplines, namely</w:t>
      </w:r>
      <w:r>
        <w:t xml:space="preserve"> </w:t>
      </w:r>
      <w:r>
        <w:t xml:space="preserve">paired append-only ledgers, four-path triage before any detector change,</w:t>
      </w:r>
      <w:r>
        <w:t xml:space="preserve"> </w:t>
      </w:r>
      <w:r>
        <w:t xml:space="preserve">numbered per-finding tracking, per-detector versioning, and the corpus</w:t>
      </w:r>
      <w:r>
        <w:t xml:space="preserve"> </w:t>
      </w:r>
      <w:r>
        <w:t xml:space="preserve">as the regression contract. Each has decades of AV practice behind</w:t>
      </w:r>
      <w:r>
        <w:t xml:space="preserve"> </w:t>
      </w:r>
      <w:r>
        <w:t xml:space="preserve">it </w:t>
      </w:r>
      <w:r>
        <w:t xml:space="preserve">[14]</w:t>
      </w:r>
      <w:r>
        <w:t xml:space="preserve">. What the framing</w:t>
      </w:r>
      <w:r>
        <w:t xml:space="preserve"> </w:t>
      </w:r>
      <w:r>
        <w:t xml:space="preserve">does not claim is a runtime output filter: the scanners run pre-signing,</w:t>
      </w:r>
      <w:r>
        <w:t xml:space="preserve"> </w:t>
      </w:r>
      <w:r>
        <w:t xml:space="preserve">the gate runs pre-load, and by the time a primitive reaches the agent it</w:t>
      </w:r>
      <w:r>
        <w:t xml:space="preserve"> </w:t>
      </w:r>
      <w:r>
        <w:t xml:space="preserve">has passed both passes or been rejected. Execution-time defenses such as</w:t>
      </w:r>
      <w:r>
        <w:t xml:space="preserve"> </w:t>
      </w:r>
      <w:r>
        <w:t xml:space="preserve">instruction-hierarchy training </w:t>
      </w:r>
      <w:r>
        <w:t xml:space="preserve">[11]</w:t>
      </w:r>
      <w:r>
        <w:t xml:space="preserve"> </w:t>
      </w:r>
      <w:r>
        <w:t xml:space="preserve">remain complementary, not a substitute for the layer studied here.</w:t>
      </w:r>
    </w:p>
    <w:bookmarkEnd w:id="44"/>
    <w:bookmarkEnd w:id="45"/>
    <w:bookmarkStart w:id="51" w:name="sec:implementation"/>
    <w:p>
      <w:pPr>
        <w:pStyle w:val="Heading1"/>
      </w:pPr>
      <w:r>
        <w:t xml:space="preserve">Implementation</w:t>
      </w:r>
    </w:p>
    <w:bookmarkStart w:id="46" w:name="two-engines-one-verdict"/>
    <w:p>
      <w:pPr>
        <w:pStyle w:val="Heading2"/>
      </w:pPr>
      <w:r>
        <w:t xml:space="preserve">Two engines, one verdict</w:t>
      </w:r>
    </w:p>
    <w:p>
      <w:pPr>
        <w:pStyle w:val="FirstParagraph"/>
      </w:pPr>
      <w:r>
        <w:t xml:space="preserve">The system has two runtime endpoints with opposite profiles.</w:t>
      </w:r>
      <w:r>
        <w:t xml:space="preserve"> </w:t>
      </w:r>
      <w:r>
        <w:t xml:space="preserve">Server-side calls (registry publish, the</w:t>
      </w:r>
      <w:r>
        <w:t xml:space="preserve"> </w:t>
      </w:r>
      <w:r>
        <w:rPr>
          <w:rStyle w:val="VerbatimChar"/>
        </w:rPr>
        <w:t xml:space="preserve">/check</w:t>
      </w:r>
      <w:r>
        <w:t xml:space="preserve"> </w:t>
      </w:r>
      <w:r>
        <w:t xml:space="preserve">route, the</w:t>
      </w:r>
      <w:r>
        <w:t xml:space="preserve"> </w:t>
      </w:r>
      <w:r>
        <w:t xml:space="preserve">validation pipeline) run on Django and use Python detectors in</w:t>
      </w:r>
      <w:r>
        <w:t xml:space="preserve"> </w:t>
      </w:r>
      <w:r>
        <w:rPr>
          <w:rStyle w:val="VerbatimChar"/>
        </w:rPr>
        <w:t xml:space="preserve">apps/api/scanners/</w:t>
      </w:r>
      <w:r>
        <w:t xml:space="preserve">. Agent-side calls (the MCP gate, the</w:t>
      </w:r>
      <w:r>
        <w:t xml:space="preserve"> </w:t>
      </w:r>
      <w:r>
        <w:rPr>
          <w:rStyle w:val="VerbatimChar"/>
        </w:rPr>
        <w:t xml:space="preserve">phub</w:t>
      </w:r>
      <w:r>
        <w:t xml:space="preserve"> </w:t>
      </w:r>
      <w:r>
        <w:t xml:space="preserve">CLI) run on Node and use TypeScript detectors in</w:t>
      </w:r>
      <w:r>
        <w:t xml:space="preserve"> </w:t>
      </w:r>
      <w:r>
        <w:rPr>
          <w:rStyle w:val="VerbatimChar"/>
        </w:rPr>
        <w:t xml:space="preserve">packages/phub/src/scanners/</w:t>
      </w:r>
      <w:r>
        <w:t xml:space="preserve">. Keeping one canonical engine and a</w:t>
      </w:r>
      <w:r>
        <w:t xml:space="preserve"> </w:t>
      </w:r>
      <w:r>
        <w:t xml:space="preserve">thin port at the other end invites drift the moment a contributor edits</w:t>
      </w:r>
      <w:r>
        <w:t xml:space="preserve"> </w:t>
      </w:r>
      <w:r>
        <w:t xml:space="preserve">one and forgets the other, a known failure mode for security-critical</w:t>
      </w:r>
      <w:r>
        <w:t xml:space="preserve"> </w:t>
      </w:r>
      <w:r>
        <w:t xml:space="preserve">code.</w:t>
      </w:r>
    </w:p>
    <w:p>
      <w:pPr>
        <w:pStyle w:val="BodyText"/>
      </w:pPr>
      <w:r>
        <w:t xml:space="preserve">We treat cross-language parity as a CI-enforced contract rather than a</w:t>
      </w:r>
      <w:r>
        <w:t xml:space="preserve"> </w:t>
      </w:r>
      <w:r>
        <w:t xml:space="preserve">code-review claim </w:t>
      </w:r>
      <w:r>
        <w:t xml:space="preserve">[18]</w:t>
      </w:r>
      <w:r>
        <w:t xml:space="preserve">. For any sample</w:t>
      </w:r>
      <w:r>
        <w:t xml:space="preserve"> </w:t>
      </w:r>
      <m:oMath>
        <m:r>
          <m:t>s</m:t>
        </m:r>
      </m:oMath>
      <w:r>
        <w:t xml:space="preserve"> </w:t>
      </w:r>
      <w:r>
        <w:t xml:space="preserve">and detector</w:t>
      </w:r>
      <w:r>
        <w:t xml:space="preserve"> </w:t>
      </w:r>
      <m:oMath>
        <m:r>
          <m:t>d</m:t>
        </m:r>
      </m:oMath>
      <w:r>
        <w:t xml:space="preserve">, the verdict severity and the boolean passed flag must</w:t>
      </w:r>
      <w:r>
        <w:t xml:space="preserve"> </w:t>
      </w:r>
      <w:r>
        <w:t xml:space="preserve">be identical across engines, and the per-detector</w:t>
      </w:r>
      <w:r>
        <w:t xml:space="preserve"> </w:t>
      </w:r>
      <w:r>
        <w:rPr>
          <w:rStyle w:val="VerbatimChar"/>
        </w:rPr>
        <w:t xml:space="preserve">(tp, fp, tn, fn)</w:t>
      </w:r>
      <w:r>
        <w:t xml:space="preserve"> </w:t>
      </w:r>
      <w:r>
        <w:t xml:space="preserve">tuples measured against the shared corpus must</w:t>
      </w:r>
      <w:r>
        <w:t xml:space="preserve"> </w:t>
      </w:r>
      <w:r>
        <w:t xml:space="preserve">agree byte-for-byte. As Section </w:t>
      </w:r>
      <w:hyperlink w:anchor="sec:evaluation">
        <w:r>
          <w:rPr>
            <w:rStyle w:val="Hyperlink"/>
          </w:rPr>
          <w:t xml:space="preserve">6</w:t>
        </w:r>
      </w:hyperlink>
      <w:r>
        <w:t xml:space="preserve"> </w:t>
      </w:r>
      <w:r>
        <w:t xml:space="preserve">shows, that</w:t>
      </w:r>
      <w:r>
        <w:t xml:space="preserve"> </w:t>
      </w:r>
      <w:r>
        <w:t xml:space="preserve">contract holds on every in-sample sample; the held-out slice, which the</w:t>
      </w:r>
      <w:r>
        <w:t xml:space="preserve"> </w:t>
      </w:r>
      <w:r>
        <w:t xml:space="preserve">gate does not police, is where the two engines still diverge. The cost</w:t>
      </w:r>
      <w:r>
        <w:t xml:space="preserve"> </w:t>
      </w:r>
      <w:r>
        <w:t xml:space="preserve">of two engines is real (every detector change is two edits and a</w:t>
      </w:r>
      <w:r>
        <w:t xml:space="preserve"> </w:t>
      </w:r>
      <w:r>
        <w:t xml:space="preserve">re-check), and so is the benefit: the byte-identical property is what</w:t>
      </w:r>
      <w:r>
        <w:t xml:space="preserve"> </w:t>
      </w:r>
      <w:r>
        <w:t xml:space="preserve">lets the agent-side gate carry the same guarantee as the server-side</w:t>
      </w:r>
      <w:r>
        <w:t xml:space="preserve"> </w:t>
      </w:r>
      <w:r>
        <w:t xml:space="preserve">pipeline.</w:t>
      </w:r>
    </w:p>
    <w:bookmarkEnd w:id="46"/>
    <w:bookmarkStart w:id="47" w:name="the-markdown-context-analyzer"/>
    <w:p>
      <w:pPr>
        <w:pStyle w:val="Heading2"/>
      </w:pPr>
      <w:r>
        <w:t xml:space="preserve">The markdown-context analyzer</w:t>
      </w:r>
    </w:p>
    <w:p>
      <w:pPr>
        <w:pStyle w:val="FirstParagraph"/>
      </w:pPr>
      <w:r>
        <w:t xml:space="preserve">Most detectors share an analyzer that identifies three syntactic regions</w:t>
      </w:r>
      <w:r>
        <w:t xml:space="preserve"> </w:t>
      </w:r>
      <w:r>
        <w:t xml:space="preserve">of a document: YAML frontmatter, fenced code blocks (per</w:t>
      </w:r>
      <w:r>
        <w:t xml:space="preserve"> </w:t>
      </w:r>
      <w:r>
        <w:t xml:space="preserve">CommonMark </w:t>
      </w:r>
      <w:r>
        <w:t xml:space="preserve">[19]</w:t>
      </w:r>
      <w:r>
        <w:t xml:space="preserve">), and inline code spans. It walks</w:t>
      </w:r>
      <w:r>
        <w:t xml:space="preserve"> </w:t>
      </w:r>
      <w:r>
        <w:t xml:space="preserve">the document once and yields offset lists, so per-detector lookups are</w:t>
      </w:r>
      <w:r>
        <w:t xml:space="preserve"> </w:t>
      </w:r>
      <w:r>
        <w:t xml:space="preserve">constant time. Introducing it closed three precision-defense ledger</w:t>
      </w:r>
      <w:r>
        <w:t xml:space="preserve"> </w:t>
      </w:r>
      <w:r>
        <w:t xml:space="preserve">entries at once: detectors stopped firing on documented teaching</w:t>
      </w:r>
      <w:r>
        <w:t xml:space="preserve"> </w:t>
      </w:r>
      <w:r>
        <w:t xml:space="preserve">examples, on inline-code mentions of vendor commands, and on frontmatter</w:t>
      </w:r>
      <w:r>
        <w:t xml:space="preserve"> </w:t>
      </w:r>
      <w:r>
        <w:t xml:space="preserve">that names attack-shape keywords. Syntactic attack carriers (a fenced</w:t>
      </w:r>
      <w:r>
        <w:t xml:space="preserve"> </w:t>
      </w:r>
      <w:r>
        <w:rPr>
          <w:rStyle w:val="VerbatimChar"/>
        </w:rPr>
        <w:t xml:space="preserve">system</w:t>
      </w:r>
      <w:r>
        <w:t xml:space="preserve"> </w:t>
      </w:r>
      <w:r>
        <w:t xml:space="preserve">marker, a hidden</w:t>
      </w:r>
      <w:r>
        <w:t xml:space="preserve"> </w:t>
      </w:r>
      <w:r>
        <w:rPr>
          <w:rStyle w:val="VerbatimChar"/>
        </w:rPr>
        <w:t xml:space="preserve">&lt;!-- instructions --&gt;</w:t>
      </w:r>
      <w:r>
        <w:t xml:space="preserve"> </w:t>
      </w:r>
      <w:r>
        <w:t xml:space="preserve">comment)</w:t>
      </w:r>
      <w:r>
        <w:t xml:space="preserve"> </w:t>
      </w:r>
      <w:r>
        <w:t xml:space="preserve">stay unprotected, so they still fire on their intended shape.</w:t>
      </w:r>
    </w:p>
    <w:p>
      <w:pPr>
        <w:pStyle w:val="BodyText"/>
      </w:pPr>
      <w:r>
        <w:t xml:space="preserve">A second pass classifies the prose</w:t>
      </w:r>
      <w:r>
        <w:t xml:space="preserve"> </w:t>
      </w:r>
      <w:r>
        <w:rPr>
          <w:i/>
          <w:iCs/>
        </w:rPr>
        <w:t xml:space="preserve">around</w:t>
      </w:r>
      <w:r>
        <w:t xml:space="preserve"> </w:t>
      </w:r>
      <w:r>
        <w:t xml:space="preserve">a</w:t>
      </w:r>
      <w:r>
        <w:t xml:space="preserve"> </w:t>
      </w:r>
      <w:r>
        <w:t xml:space="preserve">match </w:t>
      </w:r>
      <w:r>
        <w:t xml:space="preserve">[20]</w:t>
      </w:r>
      <w:r>
        <w:t xml:space="preserve"> </w:t>
      </w:r>
      <w:r>
        <w:t xml:space="preserve">as negation (</w:t>
      </w:r>
      <w:r>
        <w:t xml:space="preserve">“never run</w:t>
      </w:r>
      <w:r>
        <w:t xml:space="preserve"> </w:t>
      </w:r>
      <w:r>
        <w:rPr>
          <w:rStyle w:val="VerbatimChar"/>
        </w:rPr>
        <w:t xml:space="preserve">curl|sh</w:t>
      </w:r>
      <w:r>
        <w:t xml:space="preserve">”</w:t>
      </w:r>
      <w:r>
        <w:t xml:space="preserve">), mention (</w:t>
      </w:r>
      <w:r>
        <w:t xml:space="preserve">“Stripe’s typography”</w:t>
      </w:r>
      <w:r>
        <w:t xml:space="preserve">), or declaration</w:t>
      </w:r>
      <w:r>
        <w:t xml:space="preserve"> </w:t>
      </w:r>
      <w:r>
        <w:t xml:space="preserve">(</w:t>
      </w:r>
      <w:r>
        <w:t xml:space="preserve">“CC-BY-4.0”</w:t>
      </w:r>
      <w:r>
        <w:t xml:space="preserve">), plus a quoted-trigger predicate for a phrase wrapped in</w:t>
      </w:r>
      <w:r>
        <w:t xml:space="preserve"> </w:t>
      </w:r>
      <w:r>
        <w:t xml:space="preserve">paired quotes. This is what lets a detector distinguish defender prose</w:t>
      </w:r>
      <w:r>
        <w:t xml:space="preserve"> </w:t>
      </w:r>
      <w:r>
        <w:t xml:space="preserve">that enumerates an attacker phrase from attacker prose that uses it.</w:t>
      </w:r>
    </w:p>
    <w:bookmarkEnd w:id="47"/>
    <w:bookmarkStart w:id="48" w:name="the-corpus-as-a-regression-gate"/>
    <w:p>
      <w:pPr>
        <w:pStyle w:val="Heading2"/>
      </w:pPr>
      <w:r>
        <w:t xml:space="preserve">The corpus as a regression gate</w:t>
      </w:r>
    </w:p>
    <w:p>
      <w:pPr>
        <w:pStyle w:val="FirstParagraph"/>
      </w:pPr>
      <w:r>
        <w:t xml:space="preserve">The corpus is not only a test set; it is the contract each pull request</w:t>
      </w:r>
      <w:r>
        <w:t xml:space="preserve"> </w:t>
      </w:r>
      <w:r>
        <w:t xml:space="preserve">passes through. The most recent committed baseline under</w:t>
      </w:r>
      <w:r>
        <w:t xml:space="preserve"> </w:t>
      </w:r>
      <w:r>
        <w:rPr>
          <w:rStyle w:val="VerbatimChar"/>
        </w:rPr>
        <w:t xml:space="preserve">bench/baseline/</w:t>
      </w:r>
      <w:r>
        <w:t xml:space="preserve"> </w:t>
      </w:r>
      <w:r>
        <w:t xml:space="preserve">is the floor. Per detector, a pull request may</w:t>
      </w:r>
      <w:r>
        <w:t xml:space="preserve"> </w:t>
      </w:r>
      <w:r>
        <w:t xml:space="preserve">not drop F</w:t>
      </w:r>
      <w:r>
        <w:rPr>
          <w:vertAlign w:val="subscript"/>
        </w:rPr>
        <w:t xml:space="preserve">1</w:t>
      </w:r>
      <w:r>
        <w:t xml:space="preserve"> </w:t>
      </w:r>
      <w:r>
        <w:t xml:space="preserve">by more than 0.02 against the floor on</w:t>
      </w:r>
      <w:r>
        <w:t xml:space="preserve"> </w:t>
      </w:r>
      <w:r>
        <w:t xml:space="preserve">either engine without an explicit, declared recall trade. A single</w:t>
      </w:r>
      <w:r>
        <w:t xml:space="preserve"> </w:t>
      </w:r>
      <w:r>
        <w:t xml:space="preserve">script,</w:t>
      </w:r>
      <w:r>
        <w:t xml:space="preserve"> </w:t>
      </w:r>
      <w:r>
        <w:rPr>
          <w:rStyle w:val="VerbatimChar"/>
        </w:rPr>
        <w:t xml:space="preserve">bench/scripts/gate.sh</w:t>
      </w:r>
      <w:r>
        <w:t xml:space="preserve">, discovers the latest baseline</w:t>
      </w:r>
      <w:r>
        <w:t xml:space="preserve"> </w:t>
      </w:r>
      <w:r>
        <w:t xml:space="preserve">per language, runs both measurement scripts, and runs the parity check.</w:t>
      </w:r>
      <w:r>
        <w:t xml:space="preserve"> </w:t>
      </w:r>
      <w:r>
        <w:t xml:space="preserve">It exits zero only if no in-sample F</w:t>
      </w:r>
      <w:r>
        <w:rPr>
          <w:vertAlign w:val="subscript"/>
        </w:rPr>
        <w:t xml:space="preserve">1</w:t>
      </w:r>
      <w:r>
        <w:t xml:space="preserve"> </w:t>
      </w:r>
      <w:r>
        <w:t xml:space="preserve">regression exceeds</w:t>
      </w:r>
      <w:r>
        <w:t xml:space="preserve"> </w:t>
      </w:r>
      <w:r>
        <w:t xml:space="preserve">tolerance</w:t>
      </w:r>
      <w:r>
        <w:t xml:space="preserve"> </w:t>
      </w:r>
      <w:r>
        <w:rPr>
          <w:i/>
          <w:iCs/>
        </w:rPr>
        <w:t xml:space="preserve">and</w:t>
      </w:r>
      <w:r>
        <w:t xml:space="preserve"> </w:t>
      </w:r>
      <w:r>
        <w:t xml:space="preserve">cross-language tuple parity holds. A companion step</w:t>
      </w:r>
      <w:r>
        <w:t xml:space="preserve"> </w:t>
      </w:r>
      <w:r>
        <w:t xml:space="preserve">re-renders the public scoreboard and fails the build if</w:t>
      </w:r>
      <w:r>
        <w:t xml:space="preserve"> </w:t>
      </w:r>
      <w:r>
        <w:rPr>
          <w:rStyle w:val="VerbatimChar"/>
        </w:rPr>
        <w:t xml:space="preserve">docs/evaluation.md</w:t>
      </w:r>
      <w:r>
        <w:t xml:space="preserve"> </w:t>
      </w:r>
      <w:r>
        <w:t xml:space="preserve">would go stale, so the published numbers</w:t>
      </w:r>
      <w:r>
        <w:t xml:space="preserve"> </w:t>
      </w:r>
      <w:r>
        <w:t xml:space="preserve">cannot quietly drift from the measured ones.</w:t>
      </w:r>
    </w:p>
    <w:p>
      <w:pPr>
        <w:pStyle w:val="BodyText"/>
      </w:pPr>
      <w:r>
        <w:t xml:space="preserve">When the gate fires, the author has three principled options: close the</w:t>
      </w:r>
      <w:r>
        <w:t xml:space="preserve"> </w:t>
      </w:r>
      <w:r>
        <w:t xml:space="preserve">regression with a lockstep detector change in both engines, relabel the</w:t>
      </w:r>
      <w:r>
        <w:t xml:space="preserve"> </w:t>
      </w:r>
      <w:r>
        <w:t xml:space="preserve">offending sample with a numbered ledger entry, or declare a recall</w:t>
      </w:r>
      <w:r>
        <w:t xml:space="preserve"> </w:t>
      </w:r>
      <w:r>
        <w:t xml:space="preserve">trade in the pull request. Silent acceptance is not one of them.</w:t>
      </w:r>
    </w:p>
    <w:bookmarkEnd w:id="48"/>
    <w:bookmarkStart w:id="49" w:name="paired-ledgers"/>
    <w:p>
      <w:pPr>
        <w:pStyle w:val="Heading2"/>
      </w:pPr>
      <w:r>
        <w:t xml:space="preserve">Paired ledgers</w:t>
      </w:r>
    </w:p>
    <w:p>
      <w:pPr>
        <w:pStyle w:val="FirstParagraph"/>
      </w:pPr>
      <w:r>
        <w:t xml:space="preserve">The discipline that prevents tuning past the optimum is a pair of</w:t>
      </w:r>
      <w:r>
        <w:t xml:space="preserve"> </w:t>
      </w:r>
      <w:r>
        <w:t xml:space="preserve">append-only, numbered ledgers borrowed from AV</w:t>
      </w:r>
      <w:r>
        <w:t xml:space="preserve"> </w:t>
      </w:r>
      <w:r>
        <w:t xml:space="preserve">practice </w:t>
      </w:r>
      <w:r>
        <w:t xml:space="preserve">[14]</w:t>
      </w:r>
      <w:r>
        <w:t xml:space="preserve">. Every</w:t>
      </w:r>
      <w:r>
        <w:t xml:space="preserve"> </w:t>
      </w:r>
      <w:r>
        <w:t xml:space="preserve">diagnosed finding is classified into exactly one of four paths before a</w:t>
      </w:r>
      <w:r>
        <w:t xml:space="preserve"> </w:t>
      </w:r>
      <w:r>
        <w:t xml:space="preserve">change ships:</w:t>
      </w:r>
    </w:p>
    <w:p>
      <w:pPr>
        <w:pStyle w:val="DefinitionTerm"/>
      </w:pPr>
      <w:r>
        <w:t xml:space="preserve">Path A</w:t>
      </w:r>
    </w:p>
    <w:p>
      <w:pPr>
        <w:pStyle w:val="Definition"/>
      </w:pPr>
      <w:r>
        <w:t xml:space="preserve">edit the primitive’s prose, when the finding is a real</w:t>
      </w:r>
      <w:r>
        <w:t xml:space="preserve"> </w:t>
      </w:r>
      <w:r>
        <w:t xml:space="preserve">precision hazard caused by careless drafting.</w:t>
      </w:r>
    </w:p>
    <w:p>
      <w:pPr>
        <w:pStyle w:val="DefinitionTerm"/>
      </w:pPr>
      <w:r>
        <w:t xml:space="preserve">Path B</w:t>
      </w:r>
    </w:p>
    <w:p>
      <w:pPr>
        <w:pStyle w:val="Definition"/>
      </w:pPr>
      <w:r>
        <w:t xml:space="preserve">add a narrow allow entry in policy, which is rejected at</w:t>
      </w:r>
      <w:r>
        <w:t xml:space="preserve"> </w:t>
      </w:r>
      <w:r>
        <w:t xml:space="preserve">review unless it ships with a matching ledger entry naming its</w:t>
      </w:r>
      <w:r>
        <w:t xml:space="preserve"> </w:t>
      </w:r>
      <w:r>
        <w:t xml:space="preserve">scope.</w:t>
      </w:r>
    </w:p>
    <w:p>
      <w:pPr>
        <w:pStyle w:val="DefinitionTerm"/>
      </w:pPr>
      <w:r>
        <w:t xml:space="preserve">Path C</w:t>
      </w:r>
    </w:p>
    <w:p>
      <w:pPr>
        <w:pStyle w:val="Definition"/>
      </w:pPr>
      <w:r>
        <w:t xml:space="preserve">ratchet the detector in lockstep across both engines,</w:t>
      </w:r>
      <w:r>
        <w:t xml:space="preserve"> </w:t>
      </w:r>
      <w:r>
        <w:t xml:space="preserve">with a corpus sample that locks the fix and a recorded</w:t>
      </w:r>
      <w:r>
        <w:t xml:space="preserve"> </w:t>
      </w:r>
      <w:r>
        <w:t xml:space="preserve">F</w:t>
      </w:r>
      <w:r>
        <w:rPr>
          <w:vertAlign w:val="subscript"/>
        </w:rPr>
        <w:t xml:space="preserve">1</w:t>
      </w:r>
      <w:r>
        <w:t xml:space="preserve"> </w:t>
      </w:r>
      <w:r>
        <w:t xml:space="preserve">delta.</w:t>
      </w:r>
    </w:p>
    <w:p>
      <w:pPr>
        <w:pStyle w:val="DefinitionTerm"/>
      </w:pPr>
      <w:r>
        <w:t xml:space="preserve">Path D</w:t>
      </w:r>
    </w:p>
    <w:p>
      <w:pPr>
        <w:pStyle w:val="Definition"/>
      </w:pPr>
      <w:r>
        <w:t xml:space="preserve">escalate an ambiguous finding to a security reviewer;</w:t>
      </w:r>
      <w:r>
        <w:t xml:space="preserve"> </w:t>
      </w:r>
      <w:r>
        <w:t xml:space="preserve">never allow it silently.</w:t>
      </w:r>
    </w:p>
    <w:p>
      <w:pPr>
        <w:pStyle w:val="FirstParagraph"/>
      </w:pPr>
      <w:r>
        <w:t xml:space="preserve">As of this submission the false-positive ledger holds 14 entries</w:t>
      </w:r>
      <w:r>
        <w:t xml:space="preserve"> </w:t>
      </w:r>
      <w:r>
        <w:t xml:space="preserve">(FP-001 through FP-014) and the false-negative ledger holds 25 (FN-001</w:t>
      </w:r>
      <w:r>
        <w:t xml:space="preserve"> </w:t>
      </w:r>
      <w:r>
        <w:t xml:space="preserve">through FN-025). Each names the corpus sample, classifies the path,</w:t>
      </w:r>
      <w:r>
        <w:t xml:space="preserve"> </w:t>
      </w:r>
      <w:r>
        <w:t xml:space="preserve">records the resolution, and, after closure, logs the F</w:t>
      </w:r>
      <w:r>
        <w:rPr>
          <w:vertAlign w:val="subscript"/>
        </w:rPr>
        <w:t xml:space="preserve">1</w:t>
      </w:r>
      <w:r>
        <w:t xml:space="preserve"> </w:t>
      </w:r>
      <w:r>
        <w:t xml:space="preserve">delta and the version bump. Together the two ledgers are the audit trail</w:t>
      </w:r>
      <w:r>
        <w:t xml:space="preserve"> </w:t>
      </w:r>
      <w:r>
        <w:t xml:space="preserve">a reviewer walks to check any claim in Section </w:t>
      </w:r>
      <w:hyperlink w:anchor="sec:evaluation">
        <w:r>
          <w:rPr>
            <w:rStyle w:val="Hyperlink"/>
          </w:rPr>
          <w:t xml:space="preserve">6</w:t>
        </w:r>
      </w:hyperlink>
      <w:r>
        <w:t xml:space="preserve">.</w:t>
      </w:r>
    </w:p>
    <w:bookmarkEnd w:id="49"/>
    <w:bookmarkStart w:id="50" w:name="reproducing-the-numbers"/>
    <w:p>
      <w:pPr>
        <w:pStyle w:val="Heading2"/>
      </w:pPr>
      <w:r>
        <w:t xml:space="preserve">Reproducing the numbers</w:t>
      </w:r>
    </w:p>
    <w:p>
      <w:pPr>
        <w:pStyle w:val="FirstParagraph"/>
      </w:pPr>
      <w:r>
        <w:t xml:space="preserve">The corpus is CC-BY-4.0; the detectors and tooling are Apache-2.0. A</w:t>
      </w:r>
      <w:r>
        <w:t xml:space="preserve"> </w:t>
      </w:r>
      <w:r>
        <w:t xml:space="preserve">reviewer reproduces every number in Section </w:t>
      </w:r>
      <w:hyperlink w:anchor="sec:evaluation">
        <w:r>
          <w:rPr>
            <w:rStyle w:val="Hyperlink"/>
          </w:rPr>
          <w:t xml:space="preserve">6</w:t>
        </w:r>
      </w:hyperlink>
      <w:r>
        <w:t xml:space="preserve"> </w:t>
      </w:r>
      <w:r>
        <w:t xml:space="preserve">from a</w:t>
      </w:r>
      <w:r>
        <w:t xml:space="preserve"> </w:t>
      </w:r>
      <w:r>
        <w:t xml:space="preserve">clean clone:</w:t>
      </w:r>
    </w:p>
    <w:p>
      <w:pPr>
        <w:pStyle w:val="SourceCode"/>
      </w:pPr>
      <w:r>
        <w:rPr>
          <w:rStyle w:val="FunctionTok"/>
        </w:rPr>
        <w:t xml:space="preserve">git</w:t>
      </w:r>
      <w:r>
        <w:rPr>
          <w:rStyle w:val="NormalTok"/>
        </w:rPr>
        <w:t xml:space="preserve"> clone https://github.com/DevXYZx/primitivehub.git</w:t>
      </w:r>
      <w:r>
        <w:br/>
      </w:r>
      <w:r>
        <w:rPr>
          <w:rStyle w:val="BuiltInTok"/>
        </w:rPr>
        <w:t xml:space="preserve">cd</w:t>
      </w:r>
      <w:r>
        <w:rPr>
          <w:rStyle w:val="NormalTok"/>
        </w:rPr>
        <w:t xml:space="preserve"> primitivehub</w:t>
      </w:r>
      <w:r>
        <w:br/>
      </w:r>
      <w:r>
        <w:rPr>
          <w:rStyle w:val="ExtensionTok"/>
        </w:rPr>
        <w:t xml:space="preserve">pnpm</w:t>
      </w:r>
      <w:r>
        <w:rPr>
          <w:rStyle w:val="NormalTok"/>
        </w:rPr>
        <w:t xml:space="preserve"> install </w:t>
      </w:r>
      <w:r>
        <w:rPr>
          <w:rStyle w:val="AttributeTok"/>
        </w:rPr>
        <w:t xml:space="preserve">--frozen-lockfile</w:t>
      </w:r>
      <w:r>
        <w:br/>
      </w:r>
      <w:r>
        <w:rPr>
          <w:rStyle w:val="ExtensionTok"/>
        </w:rPr>
        <w:t xml:space="preserve">pnpm</w:t>
      </w:r>
      <w:r>
        <w:rPr>
          <w:rStyle w:val="NormalTok"/>
        </w:rPr>
        <w:t xml:space="preserve"> </w:t>
      </w:r>
      <w:r>
        <w:rPr>
          <w:rStyle w:val="AttributeTok"/>
        </w:rPr>
        <w:t xml:space="preserve">--filter</w:t>
      </w:r>
      <w:r>
        <w:rPr>
          <w:rStyle w:val="NormalTok"/>
        </w:rPr>
        <w:t xml:space="preserve"> @primitivehub/phub build</w:t>
      </w:r>
      <w:r>
        <w:br/>
      </w:r>
      <w:r>
        <w:rPr>
          <w:rStyle w:val="KeywordTok"/>
        </w:rPr>
        <w:t xml:space="preserve">(</w:t>
      </w:r>
      <w:r>
        <w:rPr>
          <w:rStyle w:val="BuiltInTok"/>
        </w:rPr>
        <w:t xml:space="preserve">cd</w:t>
      </w:r>
      <w:r>
        <w:rPr>
          <w:rStyle w:val="NormalTok"/>
        </w:rPr>
        <w:t xml:space="preserve"> apps/api </w:t>
      </w:r>
      <w:r>
        <w:rPr>
          <w:rStyle w:val="KeywordTok"/>
        </w:rPr>
        <w:t xml:space="preserve">&amp;&amp;</w:t>
      </w:r>
      <w:r>
        <w:rPr>
          <w:rStyle w:val="NormalTok"/>
        </w:rPr>
        <w:t xml:space="preserve"> </w:t>
      </w:r>
      <w:r>
        <w:rPr>
          <w:rStyle w:val="ExtensionTok"/>
        </w:rPr>
        <w:t xml:space="preserve">uv</w:t>
      </w:r>
      <w:r>
        <w:rPr>
          <w:rStyle w:val="NormalTok"/>
        </w:rPr>
        <w:t xml:space="preserve"> sync </w:t>
      </w:r>
      <w:r>
        <w:rPr>
          <w:rStyle w:val="AttributeTok"/>
        </w:rPr>
        <w:t xml:space="preserve">--all-extras</w:t>
      </w:r>
      <w:r>
        <w:rPr>
          <w:rStyle w:val="KeywordTok"/>
        </w:rPr>
        <w:t xml:space="preserve">)</w:t>
      </w:r>
      <w:r>
        <w:br/>
      </w:r>
      <w:r>
        <w:rPr>
          <w:rStyle w:val="ExtensionTok"/>
        </w:rPr>
        <w:t xml:space="preserve">bench/scripts/gate.sh</w:t>
      </w:r>
      <w:r>
        <w:rPr>
          <w:rStyle w:val="NormalTok"/>
        </w:rPr>
        <w:t xml:space="preserve">            </w:t>
      </w:r>
      <w:r>
        <w:rPr>
          <w:rStyle w:val="CommentTok"/>
        </w:rPr>
        <w:t xml:space="preserve"># per-detector P/R/F1, both engines</w:t>
      </w:r>
      <w:r>
        <w:br/>
      </w:r>
      <w:r>
        <w:rPr>
          <w:rStyle w:val="ExtensionTok"/>
        </w:rPr>
        <w:t xml:space="preserve">python</w:t>
      </w:r>
      <w:r>
        <w:rPr>
          <w:rStyle w:val="NormalTok"/>
        </w:rPr>
        <w:t xml:space="preserve"> bench/scripts/render-evaluation.py </w:t>
      </w:r>
      <w:r>
        <w:rPr>
          <w:rStyle w:val="AttributeTok"/>
        </w:rPr>
        <w:t xml:space="preserve">--check</w:t>
      </w:r>
      <w:r>
        <w:br/>
      </w:r>
      <w:r>
        <w:rPr>
          <w:rStyle w:val="ExtensionTok"/>
        </w:rPr>
        <w:t xml:space="preserve">python</w:t>
      </w:r>
      <w:r>
        <w:rPr>
          <w:rStyle w:val="NormalTok"/>
        </w:rPr>
        <w:t xml:space="preserve"> bench/cli/replay.py </w:t>
      </w:r>
      <w:r>
        <w:rPr>
          <w:rStyle w:val="AttributeTok"/>
        </w:rPr>
        <w:t xml:space="preserve">--sample</w:t>
      </w:r>
      <w:r>
        <w:rPr>
          <w:rStyle w:val="NormalTok"/>
        </w:rPr>
        <w:t xml:space="preserve"> S-001</w:t>
      </w:r>
    </w:p>
    <w:p>
      <w:pPr>
        <w:pStyle w:val="FirstParagraph"/>
      </w:pPr>
      <w:r>
        <w:t xml:space="preserve">The gate prints per-detector precision, recall, and F</w:t>
      </w:r>
      <w:r>
        <w:rPr>
          <w:vertAlign w:val="subscript"/>
        </w:rPr>
        <w:t xml:space="preserve">1</w:t>
      </w:r>
      <w:r>
        <w:t xml:space="preserve"> </w:t>
      </w:r>
      <w:r>
        <w:t xml:space="preserve">for both engines and exits zero only if the regression contract holds.</w:t>
      </w:r>
      <w:r>
        <w:t xml:space="preserve"> </w:t>
      </w:r>
      <w:r>
        <w:t xml:space="preserve">The replay tool re-runs any single sample through the detectors and</w:t>
      </w:r>
      <w:r>
        <w:t xml:space="preserve"> </w:t>
      </w:r>
      <w:r>
        <w:t xml:space="preserve">prints its per-detector outcome (TP, FN, FP, or TN), so a reviewer can</w:t>
      </w:r>
      <w:r>
        <w:t xml:space="preserve"> </w:t>
      </w:r>
      <w:r>
        <w:t xml:space="preserve">ask</w:t>
      </w:r>
      <w:r>
        <w:t xml:space="preserve"> </w:t>
      </w:r>
      <w:r>
        <w:t xml:space="preserve">“show me this specific finding”</w:t>
      </w:r>
      <w:r>
        <w:t xml:space="preserve"> </w:t>
      </w:r>
      <w:r>
        <w:t xml:space="preserve">independently of the gate’s</w:t>
      </w:r>
      <w:r>
        <w:t xml:space="preserve"> </w:t>
      </w:r>
      <w:r>
        <w:t xml:space="preserve">blocking semantics.</w:t>
      </w:r>
    </w:p>
    <w:bookmarkEnd w:id="50"/>
    <w:bookmarkEnd w:id="51"/>
    <w:bookmarkStart w:id="78" w:name="sec:evaluation"/>
    <w:p>
      <w:pPr>
        <w:pStyle w:val="Heading1"/>
      </w:pPr>
      <w:r>
        <w:t xml:space="preserve">Evaluation</w:t>
      </w:r>
    </w:p>
    <w:bookmarkStart w:id="52" w:name="research-questions"/>
    <w:p>
      <w:pPr>
        <w:pStyle w:val="Heading2"/>
      </w:pPr>
      <w:r>
        <w:t xml:space="preserve">Research questions</w:t>
      </w:r>
    </w:p>
    <w:p>
      <w:pPr>
        <w:pStyle w:val="FirstParagraph"/>
      </w:pPr>
      <w:r>
        <w:t xml:space="preserve">The corpus and measurement pipeline answer four questions, each</w:t>
      </w:r>
      <w:r>
        <w:t xml:space="preserve"> </w:t>
      </w:r>
      <w:r>
        <w:t xml:space="preserve">falsifiable against the labeled data:</w:t>
      </w:r>
    </w:p>
    <w:p>
      <w:pPr>
        <w:pStyle w:val="DefinitionTerm"/>
      </w:pPr>
      <w:r>
        <w:t xml:space="preserve">RQ1</w:t>
      </w:r>
    </w:p>
    <w:p>
      <w:pPr>
        <w:pStyle w:val="Definition"/>
      </w:pPr>
      <w:r>
        <w:t xml:space="preserve">Per detector, what are precision, recall, and</w:t>
      </w:r>
      <w:r>
        <w:t xml:space="preserve"> </w:t>
      </w:r>
      <w:r>
        <w:t xml:space="preserve">F</w:t>
      </w:r>
      <w:r>
        <w:rPr>
          <w:vertAlign w:val="subscript"/>
        </w:rPr>
        <w:t xml:space="preserve">1</w:t>
      </w:r>
      <w:r>
        <w:t xml:space="preserve"> </w:t>
      </w:r>
      <w:r>
        <w:t xml:space="preserve">on samples the detectors were tuned against?</w:t>
      </w:r>
    </w:p>
    <w:p>
      <w:pPr>
        <w:pStyle w:val="DefinitionTerm"/>
      </w:pPr>
      <w:r>
        <w:t xml:space="preserve">RQ2</w:t>
      </w:r>
    </w:p>
    <w:p>
      <w:pPr>
        <w:pStyle w:val="Definition"/>
      </w:pPr>
      <w:r>
        <w:t xml:space="preserve">Do the detectors generalize to held-out samples they were</w:t>
      </w:r>
      <w:r>
        <w:t xml:space="preserve"> </w:t>
      </w:r>
      <w:r>
        <w:t xml:space="preserve">not tuned against?</w:t>
      </w:r>
    </w:p>
    <w:p>
      <w:pPr>
        <w:pStyle w:val="DefinitionTerm"/>
      </w:pPr>
      <w:r>
        <w:t xml:space="preserve">RQ3</w:t>
      </w:r>
    </w:p>
    <w:p>
      <w:pPr>
        <w:pStyle w:val="Definition"/>
      </w:pPr>
      <w:r>
        <w:t xml:space="preserve">Do two independent engines agree byte-for-byte?</w:t>
      </w:r>
    </w:p>
    <w:p>
      <w:pPr>
        <w:pStyle w:val="DefinitionTerm"/>
      </w:pPr>
      <w:r>
        <w:t xml:space="preserve">RQ4</w:t>
      </w:r>
    </w:p>
    <w:p>
      <w:pPr>
        <w:pStyle w:val="Definition"/>
      </w:pPr>
      <w:r>
        <w:t xml:space="preserve">Where does the measurement fall short?</w:t>
      </w:r>
    </w:p>
    <w:p>
      <w:pPr>
        <w:pStyle w:val="FirstParagraph"/>
      </w:pPr>
      <w:r>
        <w:t xml:space="preserve">Every quantity below traces to</w:t>
      </w:r>
      <w:r>
        <w:t xml:space="preserve"> </w:t>
      </w:r>
      <w:r>
        <w:rPr>
          <w:rStyle w:val="VerbatimChar"/>
        </w:rPr>
        <w:t xml:space="preserve">docs/evaluation.md</w:t>
      </w:r>
      <w:r>
        <w:t xml:space="preserve"> </w:t>
      </w:r>
      <w:r>
        <w:t xml:space="preserve">[21]</w:t>
      </w:r>
      <w:r>
        <w:t xml:space="preserve"> </w:t>
      </w:r>
      <w:r>
        <w:t xml:space="preserve">and the JSON</w:t>
      </w:r>
      <w:r>
        <w:t xml:space="preserve"> </w:t>
      </w:r>
      <w:r>
        <w:t xml:space="preserve">baselines under</w:t>
      </w:r>
      <w:r>
        <w:t xml:space="preserve"> </w:t>
      </w:r>
      <w:r>
        <w:rPr>
          <w:rStyle w:val="VerbatimChar"/>
        </w:rPr>
        <w:t xml:space="preserve">bench/baseline/</w:t>
      </w:r>
      <w:r>
        <w:t xml:space="preserve">; the authoring</w:t>
      </w:r>
      <w:r>
        <w:t xml:space="preserve"> </w:t>
      </w:r>
      <w:r>
        <w:t xml:space="preserve">discipline </w:t>
      </w:r>
      <w:r>
        <w:t xml:space="preserve">[22]</w:t>
      </w:r>
      <w:r>
        <w:t xml:space="preserve"> </w:t>
      </w:r>
      <w:r>
        <w:t xml:space="preserve">forbids any number not</w:t>
      </w:r>
      <w:r>
        <w:t xml:space="preserve"> </w:t>
      </w:r>
      <w:r>
        <w:t xml:space="preserve">produced by that pipeline.</w:t>
      </w:r>
    </w:p>
    <w:bookmarkEnd w:id="52"/>
    <w:bookmarkStart w:id="53" w:name="corpus"/>
    <w:p>
      <w:pPr>
        <w:pStyle w:val="Heading2"/>
      </w:pPr>
      <w:r>
        <w:t xml:space="preserve">Corpus</w:t>
      </w:r>
    </w:p>
    <w:p>
      <w:pPr>
        <w:pStyle w:val="FirstParagraph"/>
      </w:pPr>
      <w:r>
        <w:t xml:space="preserve">The Adversarial Corpus v0.2 ships 124 labeled samples: 99 in-sample,</w:t>
      </w:r>
      <w:r>
        <w:t xml:space="preserve"> </w:t>
      </w:r>
      <w:r>
        <w:t xml:space="preserve">used during detector iteration, and 25 held out. The in-sample slice is</w:t>
      </w:r>
      <w:r>
        <w:t xml:space="preserve"> </w:t>
      </w:r>
      <w:r>
        <w:t xml:space="preserve">52 adversarial, 37 benign, and 10 borderline (where reasonable labelers</w:t>
      </w:r>
      <w:r>
        <w:t xml:space="preserve"> </w:t>
      </w:r>
      <w:r>
        <w:t xml:space="preserve">could mark either way). The held-out slice is 25 adversarial samples;</w:t>
      </w:r>
      <w:r>
        <w:t xml:space="preserve"> </w:t>
      </w:r>
      <w:r>
        <w:t xml:space="preserve">it carries no benign samples by design, because its purpose is to detect</w:t>
      </w:r>
      <w:r>
        <w:t xml:space="preserve"> </w:t>
      </w:r>
      <w:r>
        <w:t xml:space="preserve">overfit recall, not overfit precision. Per-detector in-sample support</w:t>
      </w:r>
      <w:r>
        <w:t xml:space="preserve"> </w:t>
      </w:r>
      <w:r>
        <w:t xml:space="preserve">ranges from roughly 30 (CCI-002) to 45 (CCI-007, CCI-009). Of the 77</w:t>
      </w:r>
      <w:r>
        <w:t xml:space="preserve"> </w:t>
      </w:r>
      <w:r>
        <w:t xml:space="preserve">adversarial samples across both slices, 66 are marked</w:t>
      </w:r>
      <w:r>
        <w:t xml:space="preserve"> </w:t>
      </w:r>
      <w:r>
        <w:rPr>
          <w:rStyle w:val="VerbatimChar"/>
        </w:rPr>
        <w:t xml:space="preserve">incident_reference: synthesized</w:t>
      </w:r>
      <w:r>
        <w:t xml:space="preserve">, composed to exercise a</w:t>
      </w:r>
      <w:r>
        <w:t xml:space="preserve"> </w:t>
      </w:r>
      <w:r>
        <w:t xml:space="preserve">specific shape, and 11 carry real-incident</w:t>
      </w:r>
      <w:r>
        <w:t xml:space="preserve"> </w:t>
      </w:r>
      <w:r>
        <w:t xml:space="preserve">provenance </w:t>
      </w:r>
      <w:r>
        <w:t xml:space="preserve">[23]</w:t>
      </w:r>
      <w:r>
        <w:t xml:space="preserve">. Each sample records a</w:t>
      </w:r>
      <w:r>
        <w:t xml:space="preserve"> </w:t>
      </w:r>
      <w:r>
        <w:t xml:space="preserve">primary CCI category, an expected verdict in {PASS, WARN, FAIL}, and a</w:t>
      </w:r>
      <w:r>
        <w:t xml:space="preserve"> </w:t>
      </w:r>
      <w:r>
        <w:t xml:space="preserve">provenance note. Authoring and review are by repository maintainers; the</w:t>
      </w:r>
      <w:r>
        <w:t xml:space="preserve"> </w:t>
      </w:r>
      <w:r>
        <w:t xml:space="preserve">corpus is append-only, and removing a sample requires an ADR-level</w:t>
      </w:r>
      <w:r>
        <w:t xml:space="preserve"> </w:t>
      </w:r>
      <w:r>
        <w:t xml:space="preserve">justification.</w:t>
      </w:r>
    </w:p>
    <w:bookmarkEnd w:id="53"/>
    <w:bookmarkStart w:id="54" w:name="scoring"/>
    <w:p>
      <w:pPr>
        <w:pStyle w:val="Heading2"/>
      </w:pPr>
      <w:r>
        <w:t xml:space="preserve">Scoring</w:t>
      </w:r>
    </w:p>
    <w:p>
      <w:pPr>
        <w:pStyle w:val="FirstParagraph"/>
      </w:pPr>
      <w:r>
        <w:t xml:space="preserve">Per sample, we score the</w:t>
      </w:r>
      <w:r>
        <w:t xml:space="preserve"> </w:t>
      </w:r>
      <w:r>
        <w:rPr>
          <w:i/>
          <w:iCs/>
        </w:rPr>
        <w:t xml:space="preserve">primary</w:t>
      </w:r>
      <w:r>
        <w:t xml:space="preserve"> </w:t>
      </w:r>
      <w:r>
        <w:t xml:space="preserve">detector, the one whose category</w:t>
      </w:r>
      <w:r>
        <w:t xml:space="preserve"> </w:t>
      </w:r>
      <w:r>
        <w:t xml:space="preserve">matches the sample’s label. An adversarial or borderline sample scores a</w:t>
      </w:r>
      <w:r>
        <w:t xml:space="preserve"> </w:t>
      </w:r>
      <w:r>
        <w:t xml:space="preserve">true positive if the verdict severity meets or exceeds the expected</w:t>
      </w:r>
      <w:r>
        <w:t xml:space="preserve"> </w:t>
      </w:r>
      <w:r>
        <w:t xml:space="preserve">severity, and a false negative otherwise. A benign sample scores a false</w:t>
      </w:r>
      <w:r>
        <w:t xml:space="preserve"> </w:t>
      </w:r>
      <w:r>
        <w:t xml:space="preserve">positive if any detector raises a verdict at or above WARN, and a true</w:t>
      </w:r>
      <w:r>
        <w:t xml:space="preserve"> </w:t>
      </w:r>
      <w:r>
        <w:t xml:space="preserve">negative if it stays silent. Cross-trip firing (detector</w:t>
      </w:r>
      <w:r>
        <w:t xml:space="preserve"> </w:t>
      </w:r>
      <m:oMath>
        <m:r>
          <m:t>X</m:t>
        </m:r>
      </m:oMath>
      <w:r>
        <w:t xml:space="preserve"> </w:t>
      </w:r>
      <w:r>
        <w:t xml:space="preserve">on detector</w:t>
      </w:r>
      <w:r>
        <w:t xml:space="preserve"> </w:t>
      </w:r>
      <m:oMath>
        <m:r>
          <m:t>Y</m:t>
        </m:r>
      </m:oMath>
      <w:r>
        <w:t xml:space="preserve">’s adversarial content) collapses into the false-positive/true-negative</w:t>
      </w:r>
      <w:r>
        <w:t xml:space="preserve"> </w:t>
      </w:r>
      <w:r>
        <w:t xml:space="preserve">dimension only, since there is no ground truth for</w:t>
      </w:r>
      <w:r>
        <w:t xml:space="preserve"> </w:t>
      </w:r>
      <m:oMath>
        <m:r>
          <m:t>X</m:t>
        </m:r>
      </m:oMath>
      <w:r>
        <w:t xml:space="preserve"> </w:t>
      </w:r>
      <w:r>
        <w:t xml:space="preserve">on</w:t>
      </w:r>
      <w:r>
        <w:t xml:space="preserve"> </w:t>
      </w:r>
      <m:oMath>
        <m:r>
          <m:t>Y</m:t>
        </m:r>
      </m:oMath>
      <w:r>
        <w:t xml:space="preserve">-family</w:t>
      </w:r>
      <w:r>
        <w:t xml:space="preserve"> </w:t>
      </w:r>
      <w:r>
        <w:t xml:space="preserve">attacks. Per-detector precision, recall, and F</w:t>
      </w:r>
      <w:r>
        <w:rPr>
          <w:vertAlign w:val="subscript"/>
        </w:rPr>
        <w:t xml:space="preserve">1</w:t>
      </w:r>
      <w:r>
        <w:t xml:space="preserve"> </w:t>
      </w:r>
      <w:r>
        <w:t xml:space="preserve">use the</w:t>
      </w:r>
      <w:r>
        <w:t xml:space="preserve"> </w:t>
      </w:r>
      <w:r>
        <w:t xml:space="preserve">standard formulas </w:t>
      </w:r>
      <w:r>
        <w:t xml:space="preserve">[24]</w:t>
      </w:r>
      <w:r>
        <w:t xml:space="preserve">;</w:t>
      </w:r>
      <w:r>
        <w:t xml:space="preserve"> </w:t>
      </w:r>
      <w:r>
        <w:t xml:space="preserve">macro-averaging is unweighted, because each category is a separate</w:t>
      </w:r>
      <w:r>
        <w:t xml:space="preserve"> </w:t>
      </w:r>
      <w:r>
        <w:t xml:space="preserve">defense rather than a frequency class.</w:t>
      </w:r>
    </w:p>
    <w:p>
      <w:pPr>
        <w:pStyle w:val="BodyText"/>
      </w:pPr>
      <w:r>
        <w:t xml:space="preserve">The held-out slice is measured and reported separately, and the</w:t>
      </w:r>
      <w:r>
        <w:t xml:space="preserve"> </w:t>
      </w:r>
      <w:r>
        <w:t xml:space="preserve">regression gate does not enforce it </w:t>
      </w:r>
      <w:r>
        <w:t xml:space="preserve">[25]</w:t>
      </w:r>
      <w:r>
        <w:t xml:space="preserve">.</w:t>
      </w:r>
      <w:r>
        <w:t xml:space="preserve"> </w:t>
      </w:r>
      <w:r>
        <w:t xml:space="preserve">That is deliberate: a gate that optimized the held-out numbers would</w:t>
      </w:r>
      <w:r>
        <w:t xml:space="preserve"> </w:t>
      </w:r>
      <w:r>
        <w:t xml:space="preserve">turn the overfit probe into another training set. The parity check</w:t>
      </w:r>
      <w:r>
        <w:t xml:space="preserve"> </w:t>
      </w:r>
      <w:r>
        <w:t xml:space="preserve">(</w:t>
      </w:r>
      <w:r>
        <w:rPr>
          <w:rStyle w:val="VerbatimChar"/>
        </w:rPr>
        <w:t xml:space="preserve">bench/scripts/parity_check.py</w:t>
      </w:r>
      <w:r>
        <w:t xml:space="preserve">) compares per-detector tuples</w:t>
      </w:r>
      <w:r>
        <w:t xml:space="preserve"> </w:t>
      </w:r>
      <w:r>
        <w:t xml:space="preserve">across engines and exits non-zero on drift.</w:t>
      </w:r>
    </w:p>
    <w:bookmarkEnd w:id="54"/>
    <w:bookmarkStart w:id="55" w:name="subsec:eval-in-sample"/>
    <w:p>
      <w:pPr>
        <w:pStyle w:val="Heading2"/>
      </w:pPr>
      <w:r>
        <w:t xml:space="preserve">In-sample results (RQ1, RQ3)</w:t>
      </w:r>
    </w:p>
    <w:p>
      <w:pPr>
        <w:pStyle w:val="FirstParagraph"/>
      </w:pPr>
      <w:r>
        <w:t xml:space="preserve">Table </w:t>
      </w:r>
      <w:hyperlink w:anchor="tab:in-sample">
        <w:r>
          <w:rPr>
            <w:rStyle w:val="Hyperlink"/>
          </w:rPr>
          <w:t xml:space="preserve">[tab:in-sample]</w:t>
        </w:r>
      </w:hyperlink>
      <w:r>
        <w:t xml:space="preserve"> </w:t>
      </w:r>
      <w:r>
        <w:t xml:space="preserve">reports the in-sample slice. Both engines</w:t>
      </w:r>
      <w:r>
        <w:t xml:space="preserve"> </w:t>
      </w:r>
      <w:r>
        <w:t xml:space="preserve">produce byte-identical tuples, so a single column serves for both. Nine</w:t>
      </w:r>
      <w:r>
        <w:t xml:space="preserve"> </w:t>
      </w:r>
      <w:r>
        <w:t xml:space="preserve">of ten detectors score precision, recall, and F</w:t>
      </w:r>
      <w:r>
        <w:rPr>
          <w:vertAlign w:val="subscript"/>
        </w:rPr>
        <w:t xml:space="preserve">1</w:t>
      </w:r>
      <w:r>
        <w:t xml:space="preserve"> </w:t>
      </w:r>
      <w:r>
        <w:t xml:space="preserve">of</w:t>
      </w:r>
      <w:r>
        <w:t xml:space="preserve"> </w:t>
      </w:r>
      <w:r>
        <w:t xml:space="preserve">1.000. The exception is CCI-005, the unsafe-shell-install detector and</w:t>
      </w:r>
      <w:r>
        <w:t xml:space="preserve"> </w:t>
      </w:r>
      <w:r>
        <w:t xml:space="preserve">the broadest in the suite: it raises one false positive on a benign</w:t>
      </w:r>
      <w:r>
        <w:t xml:space="preserve"> </w:t>
      </w:r>
      <w:r>
        <w:t xml:space="preserve">sample, giving precision 0.833 and F</w:t>
      </w:r>
      <w:r>
        <w:rPr>
          <w:vertAlign w:val="subscript"/>
        </w:rPr>
        <w:t xml:space="preserve">1</w:t>
      </w:r>
      <w:r>
        <w:t xml:space="preserve"> </w:t>
      </w:r>
      <w:r>
        <w:t xml:space="preserve">0.909 at recall</w:t>
      </w:r>
      <w:r>
        <w:t xml:space="preserve"> </w:t>
      </w:r>
      <w:r>
        <w:t xml:space="preserve">1.000. The macro figures are precision 0.983, recall 1.000, and</w:t>
      </w:r>
      <w:r>
        <w:t xml:space="preserve"> </w:t>
      </w:r>
      <w:r>
        <w:t xml:space="preserve">F</w:t>
      </w:r>
      <w:r>
        <w:rPr>
          <w:vertAlign w:val="subscript"/>
        </w:rPr>
        <w:t xml:space="preserve">1</w:t>
      </w:r>
      <w:r>
        <w:t xml:space="preserve"> </w:t>
      </w:r>
      <w:r>
        <w:t xml:space="preserve">0.991. We report the false positive rather than</w:t>
      </w:r>
      <w:r>
        <w:t xml:space="preserve"> </w:t>
      </w:r>
      <w:r>
        <w:t xml:space="preserve">relabel it away; it is the current precision item for CCI-005 and a</w:t>
      </w:r>
      <w:r>
        <w:t xml:space="preserve"> </w:t>
      </w:r>
      <w:r>
        <w:t xml:space="preserve">candidate for either a prose edit (Path A) or a lockstep detector</w:t>
      </w:r>
      <w:r>
        <w:t xml:space="preserve"> </w:t>
      </w:r>
      <w:r>
        <w:t xml:space="preserve">narrowing (Path C). Cross-language parity is intact on every in-sample</w:t>
      </w:r>
      <w:r>
        <w:t xml:space="preserve"> </w:t>
      </w:r>
      <w:r>
        <w:t xml:space="preserve">sample, answering RQ3 in the affirmative for this slice.</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Detector</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w:t>
            </w:r>
            <w:r>
              <w:rPr>
                <w:vertAlign w:val="subscript"/>
              </w:rPr>
              <w:t xml:space="preserve">1</w:t>
            </w:r>
          </w:p>
        </w:tc>
        <w:tc>
          <w:tcPr/>
          <w:p>
            <w:pPr>
              <w:pStyle w:val="Compact"/>
              <w:jc w:val="right"/>
            </w:pPr>
            <w:r>
              <w:t xml:space="preserve">TP</w:t>
            </w:r>
          </w:p>
        </w:tc>
        <w:tc>
          <w:tcPr/>
          <w:p>
            <w:pPr>
              <w:pStyle w:val="Compact"/>
              <w:jc w:val="right"/>
            </w:pPr>
            <w:r>
              <w:t xml:space="preserve">FP</w:t>
            </w:r>
          </w:p>
        </w:tc>
        <w:tc>
          <w:tcPr/>
          <w:p>
            <w:pPr>
              <w:pStyle w:val="Compact"/>
              <w:jc w:val="right"/>
            </w:pPr>
            <w:r>
              <w:t xml:space="preserve">TN</w:t>
            </w:r>
          </w:p>
        </w:tc>
        <w:tc>
          <w:tcPr/>
          <w:p>
            <w:pPr>
              <w:pStyle w:val="Compact"/>
              <w:jc w:val="right"/>
            </w:pPr>
            <w:r>
              <w:t xml:space="preserve">FN</w:t>
            </w:r>
          </w:p>
        </w:tc>
        <w:tc>
          <w:tcPr/>
          <w:p>
            <w:pPr>
              <w:pStyle w:val="Compact"/>
              <w:jc w:val="right"/>
            </w:pPr>
            <w:r>
              <w:t xml:space="preserve">Support</w:t>
            </w:r>
          </w:p>
        </w:tc>
      </w:tr>
      <w:tr>
        <w:tc>
          <w:tcPr/>
          <w:p>
            <w:pPr>
              <w:pStyle w:val="Compact"/>
              <w:jc w:val="left"/>
            </w:pPr>
            <w:r>
              <w:t xml:space="preserve">CCI-001</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4</w:t>
            </w:r>
          </w:p>
        </w:tc>
        <w:tc>
          <w:tcPr/>
          <w:p>
            <w:pPr>
              <w:pStyle w:val="Compact"/>
              <w:jc w:val="right"/>
            </w:pPr>
            <w:r>
              <w:t xml:space="preserve">0</w:t>
            </w:r>
          </w:p>
        </w:tc>
        <w:tc>
          <w:tcPr/>
          <w:p>
            <w:pPr>
              <w:pStyle w:val="Compact"/>
              <w:jc w:val="right"/>
            </w:pPr>
            <w:r>
              <w:t xml:space="preserve">37</w:t>
            </w:r>
          </w:p>
        </w:tc>
        <w:tc>
          <w:tcPr/>
          <w:p>
            <w:pPr>
              <w:pStyle w:val="Compact"/>
              <w:jc w:val="right"/>
            </w:pPr>
            <w:r>
              <w:t xml:space="preserve">0</w:t>
            </w:r>
          </w:p>
        </w:tc>
        <w:tc>
          <w:tcPr/>
          <w:p>
            <w:pPr>
              <w:pStyle w:val="Compact"/>
              <w:jc w:val="right"/>
            </w:pPr>
            <w:r>
              <w:t xml:space="preserve">41</w:t>
            </w:r>
          </w:p>
        </w:tc>
      </w:tr>
      <w:tr>
        <w:tc>
          <w:tcPr/>
          <w:p>
            <w:pPr>
              <w:pStyle w:val="Compact"/>
              <w:jc w:val="left"/>
            </w:pPr>
            <w:r>
              <w:t xml:space="preserve">CCI-002</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3</w:t>
            </w:r>
          </w:p>
        </w:tc>
        <w:tc>
          <w:tcPr/>
          <w:p>
            <w:pPr>
              <w:pStyle w:val="Compact"/>
              <w:jc w:val="right"/>
            </w:pPr>
            <w:r>
              <w:t xml:space="preserve">0</w:t>
            </w:r>
          </w:p>
        </w:tc>
        <w:tc>
          <w:tcPr/>
          <w:p>
            <w:pPr>
              <w:pStyle w:val="Compact"/>
              <w:jc w:val="right"/>
            </w:pPr>
            <w:r>
              <w:t xml:space="preserve">37</w:t>
            </w:r>
          </w:p>
        </w:tc>
        <w:tc>
          <w:tcPr/>
          <w:p>
            <w:pPr>
              <w:pStyle w:val="Compact"/>
              <w:jc w:val="right"/>
            </w:pPr>
            <w:r>
              <w:t xml:space="preserve">0</w:t>
            </w:r>
          </w:p>
        </w:tc>
        <w:tc>
          <w:tcPr/>
          <w:p>
            <w:pPr>
              <w:pStyle w:val="Compact"/>
              <w:jc w:val="right"/>
            </w:pPr>
            <w:r>
              <w:t xml:space="preserve">40</w:t>
            </w:r>
          </w:p>
        </w:tc>
      </w:tr>
      <w:tr>
        <w:tc>
          <w:tcPr/>
          <w:p>
            <w:pPr>
              <w:pStyle w:val="Compact"/>
              <w:jc w:val="left"/>
            </w:pPr>
            <w:r>
              <w:t xml:space="preserve">CCI-003</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7</w:t>
            </w:r>
          </w:p>
        </w:tc>
        <w:tc>
          <w:tcPr/>
          <w:p>
            <w:pPr>
              <w:pStyle w:val="Compact"/>
              <w:jc w:val="right"/>
            </w:pPr>
            <w:r>
              <w:t xml:space="preserve">0</w:t>
            </w:r>
          </w:p>
        </w:tc>
        <w:tc>
          <w:tcPr/>
          <w:p>
            <w:pPr>
              <w:pStyle w:val="Compact"/>
              <w:jc w:val="right"/>
            </w:pPr>
            <w:r>
              <w:t xml:space="preserve">37</w:t>
            </w:r>
          </w:p>
        </w:tc>
        <w:tc>
          <w:tcPr/>
          <w:p>
            <w:pPr>
              <w:pStyle w:val="Compact"/>
              <w:jc w:val="right"/>
            </w:pPr>
            <w:r>
              <w:t xml:space="preserve">0</w:t>
            </w:r>
          </w:p>
        </w:tc>
        <w:tc>
          <w:tcPr/>
          <w:p>
            <w:pPr>
              <w:pStyle w:val="Compact"/>
              <w:jc w:val="right"/>
            </w:pPr>
            <w:r>
              <w:t xml:space="preserve">44</w:t>
            </w:r>
          </w:p>
        </w:tc>
      </w:tr>
      <w:tr>
        <w:tc>
          <w:tcPr/>
          <w:p>
            <w:pPr>
              <w:pStyle w:val="Compact"/>
              <w:jc w:val="left"/>
            </w:pPr>
            <w:r>
              <w:t xml:space="preserve">CCI-004</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7</w:t>
            </w:r>
          </w:p>
        </w:tc>
        <w:tc>
          <w:tcPr/>
          <w:p>
            <w:pPr>
              <w:pStyle w:val="Compact"/>
              <w:jc w:val="right"/>
            </w:pPr>
            <w:r>
              <w:t xml:space="preserve">0</w:t>
            </w:r>
          </w:p>
        </w:tc>
        <w:tc>
          <w:tcPr/>
          <w:p>
            <w:pPr>
              <w:pStyle w:val="Compact"/>
              <w:jc w:val="right"/>
            </w:pPr>
            <w:r>
              <w:t xml:space="preserve">37</w:t>
            </w:r>
          </w:p>
        </w:tc>
        <w:tc>
          <w:tcPr/>
          <w:p>
            <w:pPr>
              <w:pStyle w:val="Compact"/>
              <w:jc w:val="right"/>
            </w:pPr>
            <w:r>
              <w:t xml:space="preserve">0</w:t>
            </w:r>
          </w:p>
        </w:tc>
        <w:tc>
          <w:tcPr/>
          <w:p>
            <w:pPr>
              <w:pStyle w:val="Compact"/>
              <w:jc w:val="right"/>
            </w:pPr>
            <w:r>
              <w:t xml:space="preserve">44</w:t>
            </w:r>
          </w:p>
        </w:tc>
      </w:tr>
      <w:tr>
        <w:tc>
          <w:tcPr/>
          <w:p>
            <w:pPr>
              <w:pStyle w:val="Compact"/>
              <w:jc w:val="left"/>
            </w:pPr>
            <w:r>
              <w:t xml:space="preserve">CCI-005</w:t>
            </w:r>
          </w:p>
        </w:tc>
        <w:tc>
          <w:tcPr/>
          <w:p>
            <w:pPr>
              <w:pStyle w:val="Compact"/>
              <w:jc w:val="right"/>
            </w:pPr>
            <w:r>
              <w:t xml:space="preserve">0.833</w:t>
            </w:r>
          </w:p>
        </w:tc>
        <w:tc>
          <w:tcPr/>
          <w:p>
            <w:pPr>
              <w:pStyle w:val="Compact"/>
              <w:jc w:val="right"/>
            </w:pPr>
            <w:r>
              <w:t xml:space="preserve">1.000</w:t>
            </w:r>
          </w:p>
        </w:tc>
        <w:tc>
          <w:tcPr/>
          <w:p>
            <w:pPr>
              <w:pStyle w:val="Compact"/>
              <w:jc w:val="right"/>
            </w:pPr>
            <w:r>
              <w:t xml:space="preserve">0.909</w:t>
            </w:r>
          </w:p>
        </w:tc>
        <w:tc>
          <w:tcPr/>
          <w:p>
            <w:pPr>
              <w:pStyle w:val="Compact"/>
              <w:jc w:val="right"/>
            </w:pPr>
            <w:r>
              <w:t xml:space="preserve">5</w:t>
            </w:r>
          </w:p>
        </w:tc>
        <w:tc>
          <w:tcPr/>
          <w:p>
            <w:pPr>
              <w:pStyle w:val="Compact"/>
              <w:jc w:val="right"/>
            </w:pPr>
            <w:r>
              <w:t xml:space="preserve">1</w:t>
            </w:r>
          </w:p>
        </w:tc>
        <w:tc>
          <w:tcPr/>
          <w:p>
            <w:pPr>
              <w:pStyle w:val="Compact"/>
              <w:jc w:val="right"/>
            </w:pPr>
            <w:r>
              <w:t xml:space="preserve">36</w:t>
            </w:r>
          </w:p>
        </w:tc>
        <w:tc>
          <w:tcPr/>
          <w:p>
            <w:pPr>
              <w:pStyle w:val="Compact"/>
              <w:jc w:val="right"/>
            </w:pPr>
            <w:r>
              <w:t xml:space="preserve">0</w:t>
            </w:r>
          </w:p>
        </w:tc>
        <w:tc>
          <w:tcPr/>
          <w:p>
            <w:pPr>
              <w:pStyle w:val="Compact"/>
              <w:jc w:val="right"/>
            </w:pPr>
            <w:r>
              <w:t xml:space="preserve">42</w:t>
            </w:r>
          </w:p>
        </w:tc>
      </w:tr>
      <w:tr>
        <w:tc>
          <w:tcPr/>
          <w:p>
            <w:pPr>
              <w:pStyle w:val="Compact"/>
              <w:jc w:val="left"/>
            </w:pPr>
            <w:r>
              <w:t xml:space="preserve">CCI-006</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7</w:t>
            </w:r>
          </w:p>
        </w:tc>
        <w:tc>
          <w:tcPr/>
          <w:p>
            <w:pPr>
              <w:pStyle w:val="Compact"/>
              <w:jc w:val="right"/>
            </w:pPr>
            <w:r>
              <w:t xml:space="preserve">0</w:t>
            </w:r>
          </w:p>
        </w:tc>
        <w:tc>
          <w:tcPr/>
          <w:p>
            <w:pPr>
              <w:pStyle w:val="Compact"/>
              <w:jc w:val="right"/>
            </w:pPr>
            <w:r>
              <w:t xml:space="preserve">37</w:t>
            </w:r>
          </w:p>
        </w:tc>
        <w:tc>
          <w:tcPr/>
          <w:p>
            <w:pPr>
              <w:pStyle w:val="Compact"/>
              <w:jc w:val="right"/>
            </w:pPr>
            <w:r>
              <w:t xml:space="preserve">0</w:t>
            </w:r>
          </w:p>
        </w:tc>
        <w:tc>
          <w:tcPr/>
          <w:p>
            <w:pPr>
              <w:pStyle w:val="Compact"/>
              <w:jc w:val="right"/>
            </w:pPr>
            <w:r>
              <w:t xml:space="preserve">44</w:t>
            </w:r>
          </w:p>
        </w:tc>
      </w:tr>
      <w:tr>
        <w:tc>
          <w:tcPr/>
          <w:p>
            <w:pPr>
              <w:pStyle w:val="Compact"/>
              <w:jc w:val="left"/>
            </w:pPr>
            <w:r>
              <w:t xml:space="preserve">CCI-007</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8</w:t>
            </w:r>
          </w:p>
        </w:tc>
        <w:tc>
          <w:tcPr/>
          <w:p>
            <w:pPr>
              <w:pStyle w:val="Compact"/>
              <w:jc w:val="right"/>
            </w:pPr>
            <w:r>
              <w:t xml:space="preserve">0</w:t>
            </w:r>
          </w:p>
        </w:tc>
        <w:tc>
          <w:tcPr/>
          <w:p>
            <w:pPr>
              <w:pStyle w:val="Compact"/>
              <w:jc w:val="right"/>
            </w:pPr>
            <w:r>
              <w:t xml:space="preserve">37</w:t>
            </w:r>
          </w:p>
        </w:tc>
        <w:tc>
          <w:tcPr/>
          <w:p>
            <w:pPr>
              <w:pStyle w:val="Compact"/>
              <w:jc w:val="right"/>
            </w:pPr>
            <w:r>
              <w:t xml:space="preserve">0</w:t>
            </w:r>
          </w:p>
        </w:tc>
        <w:tc>
          <w:tcPr/>
          <w:p>
            <w:pPr>
              <w:pStyle w:val="Compact"/>
              <w:jc w:val="right"/>
            </w:pPr>
            <w:r>
              <w:t xml:space="preserve">45</w:t>
            </w:r>
          </w:p>
        </w:tc>
      </w:tr>
      <w:tr>
        <w:tc>
          <w:tcPr/>
          <w:p>
            <w:pPr>
              <w:pStyle w:val="Compact"/>
              <w:jc w:val="left"/>
            </w:pPr>
            <w:r>
              <w:t xml:space="preserve">CCI-008</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7</w:t>
            </w:r>
          </w:p>
        </w:tc>
        <w:tc>
          <w:tcPr/>
          <w:p>
            <w:pPr>
              <w:pStyle w:val="Compact"/>
              <w:jc w:val="right"/>
            </w:pPr>
            <w:r>
              <w:t xml:space="preserve">0</w:t>
            </w:r>
          </w:p>
        </w:tc>
        <w:tc>
          <w:tcPr/>
          <w:p>
            <w:pPr>
              <w:pStyle w:val="Compact"/>
              <w:jc w:val="right"/>
            </w:pPr>
            <w:r>
              <w:t xml:space="preserve">37</w:t>
            </w:r>
          </w:p>
        </w:tc>
        <w:tc>
          <w:tcPr/>
          <w:p>
            <w:pPr>
              <w:pStyle w:val="Compact"/>
              <w:jc w:val="right"/>
            </w:pPr>
            <w:r>
              <w:t xml:space="preserve">0</w:t>
            </w:r>
          </w:p>
        </w:tc>
        <w:tc>
          <w:tcPr/>
          <w:p>
            <w:pPr>
              <w:pStyle w:val="Compact"/>
              <w:jc w:val="right"/>
            </w:pPr>
            <w:r>
              <w:t xml:space="preserve">44</w:t>
            </w:r>
          </w:p>
        </w:tc>
      </w:tr>
      <w:tr>
        <w:tc>
          <w:tcPr/>
          <w:p>
            <w:pPr>
              <w:pStyle w:val="Compact"/>
              <w:jc w:val="left"/>
            </w:pPr>
            <w:r>
              <w:t xml:space="preserve">CCI-009</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8</w:t>
            </w:r>
          </w:p>
        </w:tc>
        <w:tc>
          <w:tcPr/>
          <w:p>
            <w:pPr>
              <w:pStyle w:val="Compact"/>
              <w:jc w:val="right"/>
            </w:pPr>
            <w:r>
              <w:t xml:space="preserve">0</w:t>
            </w:r>
          </w:p>
        </w:tc>
        <w:tc>
          <w:tcPr/>
          <w:p>
            <w:pPr>
              <w:pStyle w:val="Compact"/>
              <w:jc w:val="right"/>
            </w:pPr>
            <w:r>
              <w:t xml:space="preserve">37</w:t>
            </w:r>
          </w:p>
        </w:tc>
        <w:tc>
          <w:tcPr/>
          <w:p>
            <w:pPr>
              <w:pStyle w:val="Compact"/>
              <w:jc w:val="right"/>
            </w:pPr>
            <w:r>
              <w:t xml:space="preserve">0</w:t>
            </w:r>
          </w:p>
        </w:tc>
        <w:tc>
          <w:tcPr/>
          <w:p>
            <w:pPr>
              <w:pStyle w:val="Compact"/>
              <w:jc w:val="right"/>
            </w:pPr>
            <w:r>
              <w:t xml:space="preserve">45</w:t>
            </w:r>
          </w:p>
        </w:tc>
      </w:tr>
      <w:tr>
        <w:tc>
          <w:tcPr/>
          <w:p>
            <w:pPr>
              <w:pStyle w:val="Compact"/>
              <w:jc w:val="left"/>
            </w:pPr>
            <w:r>
              <w:t xml:space="preserve">CCI-010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1.000</w:t>
            </w:r>
          </w:p>
        </w:tc>
        <w:tc>
          <w:tcPr/>
          <w:p>
            <w:pPr>
              <w:pStyle w:val="Compact"/>
              <w:jc w:val="right"/>
            </w:pPr>
            <w:r>
              <w:t xml:space="preserve">6</w:t>
            </w:r>
          </w:p>
        </w:tc>
        <w:tc>
          <w:tcPr/>
          <w:p>
            <w:pPr>
              <w:pStyle w:val="Compact"/>
              <w:jc w:val="right"/>
            </w:pPr>
            <w:r>
              <w:t xml:space="preserve">0</w:t>
            </w:r>
          </w:p>
        </w:tc>
        <w:tc>
          <w:tcPr/>
          <w:p>
            <w:pPr>
              <w:pStyle w:val="Compact"/>
              <w:jc w:val="right"/>
            </w:pPr>
            <w:r>
              <w:t xml:space="preserve">37</w:t>
            </w:r>
          </w:p>
        </w:tc>
        <w:tc>
          <w:tcPr/>
          <w:p>
            <w:pPr>
              <w:pStyle w:val="Compact"/>
              <w:jc w:val="right"/>
            </w:pPr>
            <w:r>
              <w:t xml:space="preserve">0</w:t>
            </w:r>
          </w:p>
        </w:tc>
        <w:tc>
          <w:tcPr/>
          <w:p>
            <w:pPr>
              <w:pStyle w:val="Compact"/>
              <w:jc w:val="right"/>
            </w:pPr>
            <w:r>
              <w:t xml:space="preserve">43</w:t>
            </w:r>
          </w:p>
        </w:tc>
      </w:tr>
      <w:tr>
        <w:tc>
          <w:tcPr/>
          <w:p>
            <w:pPr>
              <w:pStyle w:val="Compact"/>
              <w:jc w:val="left"/>
            </w:pPr>
            <w:r>
              <w:rPr>
                <w:b/>
                <w:bCs/>
              </w:rPr>
              <w:t xml:space="preserve">Macro</w:t>
            </w:r>
          </w:p>
        </w:tc>
        <w:tc>
          <w:tcPr/>
          <w:p>
            <w:pPr>
              <w:pStyle w:val="Compact"/>
              <w:jc w:val="right"/>
            </w:pPr>
            <w:r>
              <w:rPr>
                <w:b/>
                <w:bCs/>
              </w:rPr>
              <w:t xml:space="preserve">0.983</w:t>
            </w:r>
          </w:p>
        </w:tc>
        <w:tc>
          <w:tcPr/>
          <w:p>
            <w:pPr>
              <w:pStyle w:val="Compact"/>
              <w:jc w:val="right"/>
            </w:pPr>
            <w:r>
              <w:rPr>
                <w:b/>
                <w:bCs/>
              </w:rPr>
              <w:t xml:space="preserve">1.000</w:t>
            </w:r>
          </w:p>
        </w:tc>
        <w:tc>
          <w:tcPr/>
          <w:p>
            <w:pPr>
              <w:pStyle w:val="Compact"/>
              <w:jc w:val="right"/>
            </w:pPr>
            <w:r>
              <w:rPr>
                <w:b/>
                <w:bCs/>
              </w:rPr>
              <w:t xml:space="preserve">0.991</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bookmarkEnd w:id="55"/>
    <w:bookmarkStart w:id="57" w:name="subsec:eval-holdout"/>
    <w:p>
      <w:pPr>
        <w:pStyle w:val="Heading2"/>
      </w:pPr>
      <w:r>
        <w:t xml:space="preserve">Held-out results (RQ2)</w:t>
      </w:r>
    </w:p>
    <w:p>
      <w:pPr>
        <w:pStyle w:val="FirstParagraph"/>
      </w:pPr>
      <w:r>
        <w:t xml:space="preserve">Table </w:t>
      </w:r>
      <w:hyperlink w:anchor="tab:holdout">
        <w:r>
          <w:rPr>
            <w:rStyle w:val="Hyperlink"/>
          </w:rPr>
          <w:t xml:space="preserve">2</w:t>
        </w:r>
      </w:hyperlink>
      <w:r>
        <w:t xml:space="preserve"> </w:t>
      </w:r>
      <w:r>
        <w:t xml:space="preserve">reports the 25 held-out adversarial samples.</w:t>
      </w:r>
      <w:r>
        <w:t xml:space="preserve"> </w:t>
      </w:r>
      <w:r>
        <w:t xml:space="preserve">Here the two engines diverge, and the divergence is the finding. The</w:t>
      </w:r>
      <w:r>
        <w:t xml:space="preserve"> </w:t>
      </w:r>
      <w:r>
        <w:t xml:space="preserve">Python engine recovers all 25 attacks (macro recall 1.000). The</w:t>
      </w:r>
      <w:r>
        <w:t xml:space="preserve"> </w:t>
      </w:r>
      <w:r>
        <w:t xml:space="preserve">TypeScript engine recovers 18, missing seven: three of seven in CCI-005,</w:t>
      </w:r>
      <w:r>
        <w:t xml:space="preserve"> </w:t>
      </w:r>
      <w:r>
        <w:t xml:space="preserve">two of three in CCI-006, one of three in CCI-001, and one of four in</w:t>
      </w:r>
      <w:r>
        <w:t xml:space="preserve"> </w:t>
      </w:r>
      <w:r>
        <w:t xml:space="preserve">CCI-007. Its macro recall is 0.832 and its macro F</w:t>
      </w:r>
      <w:r>
        <w:rPr>
          <w:vertAlign w:val="subscript"/>
        </w:rPr>
        <w:t xml:space="preserve">1</w:t>
      </w:r>
      <w:r>
        <w:t xml:space="preserve"> </w:t>
      </w:r>
      <w:r>
        <w:t xml:space="preserve">is</w:t>
      </w:r>
      <w:r>
        <w:t xml:space="preserve"> </w:t>
      </w:r>
      <w:r>
        <w:t xml:space="preserve">0.888 (precision stays 1.000, since the held-out slice has no benign</w:t>
      </w:r>
      <w:r>
        <w:t xml:space="preserve"> </w:t>
      </w:r>
      <w:r>
        <w:t xml:space="preserve">samples to false-fire on).</w:t>
      </w:r>
    </w:p>
    <w:bookmarkStart w:id="56" w:name="tab:holdout"/>
    <w:p>
      <w:pPr>
        <w:pStyle w:val="TableCaption"/>
      </w:pPr>
      <w:r>
        <w:t xml:space="preserve">Held-out results on corpus v0.2 (25 adversarial samples, no</w:t>
      </w:r>
      <w:r>
        <w:t xml:space="preserve"> </w:t>
      </w:r>
      <w:r>
        <w:t xml:space="preserve">benign). Precision is 1.000 throughout, so we report recovery. The</w:t>
      </w:r>
      <w:r>
        <w:t xml:space="preserve"> </w:t>
      </w:r>
      <w:r>
        <w:t xml:space="preserve">Python engine recovers all 25; the TypeScript engine recovers 18. The</w:t>
      </w:r>
      <w:r>
        <w:t xml:space="preserve"> </w:t>
      </w:r>
      <w:r>
        <w:t xml:space="preserve">gate does not optimize this slice. Source:</w:t>
      </w:r>
      <w:r>
        <w:t xml:space="preserve"> </w:t>
      </w:r>
      <w:r>
        <w:rPr>
          <w:rStyle w:val="VerbatimChar"/>
        </w:rPr>
        <w:t xml:space="preserve">bench/baseline/2026-06-07-{py,ts}.json</w:t>
      </w:r>
      <w:r>
        <w:t xml:space="preserve">.</w:t>
      </w:r>
    </w:p>
    <w:tbl>
      <w:tblPr>
        <w:tblStyle w:val="Table"/>
        <w:tblW w:type="auto" w:w="0"/>
        <w:tblLook w:firstRow="1" w:lastRow="0" w:firstColumn="0" w:lastColumn="0" w:noHBand="0" w:noVBand="0" w:val="0020"/>
        <w:tblCaption w:val="Held-out results on corpus v0.2 (25 adversarial samples, no benign). Precision is 1.000 throughout, so we report recovery. The Python engine recovers all 25; the TypeScript engine recovers 18. The gate does not optimize this slice. Source: bench/baseline/2026-06-07-{py,ts}.json."/>
      </w:tblPr>
      <w:tblGrid>
        <w:gridCol w:w="1320"/>
        <w:gridCol w:w="1320"/>
        <w:gridCol w:w="1320"/>
        <w:gridCol w:w="1320"/>
        <w:gridCol w:w="1320"/>
        <w:gridCol w:w="1320"/>
      </w:tblGrid>
      <w:tr>
        <w:trPr>
          <w:tblHeader w:val="on"/>
        </w:trPr>
        <w:tc>
          <w:tcPr/>
          <w:p>
            <w:pPr>
              <w:pStyle w:val="Compact"/>
            </w:pPr>
          </w:p>
        </w:tc>
        <w:tc>
          <w:tcPr/>
          <w:p>
            <w:pPr>
              <w:pStyle w:val="Compact"/>
            </w:pPr>
          </w:p>
        </w:tc>
        <w:tc>
          <w:tcPr>
            <w:gridSpan w:val="2"/>
          </w:tcPr>
          <w:p>
            <w:pPr>
              <w:pStyle w:val="Compact"/>
              <w:jc w:val="center"/>
            </w:pPr>
            <w:r>
              <w:t xml:space="preserve">Python</w:t>
            </w:r>
          </w:p>
        </w:tc>
        <w:tc>
          <w:tcPr>
            <w:gridSpan w:val="2"/>
          </w:tcPr>
          <w:p>
            <w:pPr>
              <w:pStyle w:val="Compact"/>
              <w:jc w:val="center"/>
            </w:pPr>
            <w:r>
              <w:t xml:space="preserve">TypeScript</w:t>
            </w:r>
          </w:p>
        </w:tc>
      </w:tr>
      <w:tr>
        <w:tc>
          <w:tcPr/>
          <w:p>
            <w:pPr>
              <w:pStyle w:val="Compact"/>
              <w:jc w:val="left"/>
            </w:pPr>
            <w:r>
              <w:t xml:space="preserve">3-4</w:t>
            </w:r>
            <w:r>
              <w:t xml:space="preserve">(lr)</w:t>
            </w:r>
            <w:r>
              <w:t xml:space="preserve">5-6</w:t>
            </w:r>
            <w:r>
              <w:t xml:space="preserve"> </w:t>
            </w:r>
            <w:r>
              <w:t xml:space="preserve">Detector</w:t>
            </w:r>
          </w:p>
        </w:tc>
        <w:tc>
          <w:tcPr/>
          <w:p>
            <w:pPr>
              <w:pStyle w:val="Compact"/>
              <w:jc w:val="right"/>
            </w:pPr>
            <w:r>
              <w:t xml:space="preserve">Support</w:t>
            </w:r>
          </w:p>
        </w:tc>
        <w:tc>
          <w:tcPr/>
          <w:p>
            <w:pPr>
              <w:pStyle w:val="Compact"/>
              <w:jc w:val="right"/>
            </w:pPr>
            <w:r>
              <w:t xml:space="preserve">TP</w:t>
            </w:r>
          </w:p>
        </w:tc>
        <w:tc>
          <w:tcPr/>
          <w:p>
            <w:pPr>
              <w:pStyle w:val="Compact"/>
              <w:jc w:val="right"/>
            </w:pPr>
            <w:r>
              <w:t xml:space="preserve">Recall</w:t>
            </w:r>
          </w:p>
        </w:tc>
        <w:tc>
          <w:tcPr/>
          <w:p>
            <w:pPr>
              <w:pStyle w:val="Compact"/>
              <w:jc w:val="right"/>
            </w:pPr>
            <w:r>
              <w:t xml:space="preserve">TP</w:t>
            </w:r>
          </w:p>
        </w:tc>
        <w:tc>
          <w:tcPr/>
          <w:p>
            <w:pPr>
              <w:pStyle w:val="Compact"/>
              <w:jc w:val="right"/>
            </w:pPr>
            <w:r>
              <w:t xml:space="preserve">Recall</w:t>
            </w:r>
          </w:p>
        </w:tc>
      </w:tr>
      <w:tr>
        <w:tc>
          <w:tcPr/>
          <w:p>
            <w:pPr>
              <w:pStyle w:val="Compact"/>
              <w:jc w:val="left"/>
            </w:pPr>
            <w:r>
              <w:t xml:space="preserve">CCI-001</w:t>
            </w:r>
          </w:p>
        </w:tc>
        <w:tc>
          <w:tcPr/>
          <w:p>
            <w:pPr>
              <w:pStyle w:val="Compact"/>
              <w:jc w:val="right"/>
            </w:pPr>
            <w:r>
              <w:t xml:space="preserve">3</w:t>
            </w:r>
          </w:p>
        </w:tc>
        <w:tc>
          <w:tcPr/>
          <w:p>
            <w:pPr>
              <w:pStyle w:val="Compact"/>
              <w:jc w:val="right"/>
            </w:pPr>
            <w:r>
              <w:t xml:space="preserve">3</w:t>
            </w:r>
          </w:p>
        </w:tc>
        <w:tc>
          <w:tcPr/>
          <w:p>
            <w:pPr>
              <w:pStyle w:val="Compact"/>
              <w:jc w:val="right"/>
            </w:pPr>
            <w:r>
              <w:t xml:space="preserve">1.000</w:t>
            </w:r>
          </w:p>
        </w:tc>
        <w:tc>
          <w:tcPr/>
          <w:p>
            <w:pPr>
              <w:pStyle w:val="Compact"/>
              <w:jc w:val="right"/>
            </w:pPr>
            <w:r>
              <w:t xml:space="preserve">2</w:t>
            </w:r>
          </w:p>
        </w:tc>
        <w:tc>
          <w:tcPr/>
          <w:p>
            <w:pPr>
              <w:pStyle w:val="Compact"/>
              <w:jc w:val="right"/>
            </w:pPr>
            <w:r>
              <w:t xml:space="preserve">0.667</w:t>
            </w:r>
          </w:p>
        </w:tc>
      </w:tr>
      <w:tr>
        <w:tc>
          <w:tcPr/>
          <w:p>
            <w:pPr>
              <w:pStyle w:val="Compact"/>
              <w:jc w:val="left"/>
            </w:pPr>
            <w:r>
              <w:t xml:space="preserve">CCI-002</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1.000</w:t>
            </w:r>
          </w:p>
        </w:tc>
        <w:tc>
          <w:tcPr/>
          <w:p>
            <w:pPr>
              <w:pStyle w:val="Compact"/>
              <w:jc w:val="right"/>
            </w:pPr>
            <w:r>
              <w:t xml:space="preserve">1</w:t>
            </w:r>
          </w:p>
        </w:tc>
        <w:tc>
          <w:tcPr/>
          <w:p>
            <w:pPr>
              <w:pStyle w:val="Compact"/>
              <w:jc w:val="right"/>
            </w:pPr>
            <w:r>
              <w:t xml:space="preserve">1.000</w:t>
            </w:r>
          </w:p>
        </w:tc>
      </w:tr>
      <w:tr>
        <w:tc>
          <w:tcPr/>
          <w:p>
            <w:pPr>
              <w:pStyle w:val="Compact"/>
              <w:jc w:val="left"/>
            </w:pPr>
            <w:r>
              <w:t xml:space="preserve">CCI-003</w:t>
            </w:r>
          </w:p>
        </w:tc>
        <w:tc>
          <w:tcPr/>
          <w:p>
            <w:pPr>
              <w:pStyle w:val="Compact"/>
              <w:jc w:val="right"/>
            </w:pPr>
            <w:r>
              <w:t xml:space="preserve">2</w:t>
            </w:r>
          </w:p>
        </w:tc>
        <w:tc>
          <w:tcPr/>
          <w:p>
            <w:pPr>
              <w:pStyle w:val="Compact"/>
              <w:jc w:val="right"/>
            </w:pPr>
            <w:r>
              <w:t xml:space="preserve">2</w:t>
            </w:r>
          </w:p>
        </w:tc>
        <w:tc>
          <w:tcPr/>
          <w:p>
            <w:pPr>
              <w:pStyle w:val="Compact"/>
              <w:jc w:val="right"/>
            </w:pPr>
            <w:r>
              <w:t xml:space="preserve">1.000</w:t>
            </w:r>
          </w:p>
        </w:tc>
        <w:tc>
          <w:tcPr/>
          <w:p>
            <w:pPr>
              <w:pStyle w:val="Compact"/>
              <w:jc w:val="right"/>
            </w:pPr>
            <w:r>
              <w:t xml:space="preserve">2</w:t>
            </w:r>
          </w:p>
        </w:tc>
        <w:tc>
          <w:tcPr/>
          <w:p>
            <w:pPr>
              <w:pStyle w:val="Compact"/>
              <w:jc w:val="right"/>
            </w:pPr>
            <w:r>
              <w:t xml:space="preserve">1.000</w:t>
            </w:r>
          </w:p>
        </w:tc>
      </w:tr>
      <w:tr>
        <w:tc>
          <w:tcPr/>
          <w:p>
            <w:pPr>
              <w:pStyle w:val="Compact"/>
              <w:jc w:val="left"/>
            </w:pPr>
            <w:r>
              <w:t xml:space="preserve">CCI-004</w:t>
            </w:r>
          </w:p>
        </w:tc>
        <w:tc>
          <w:tcPr/>
          <w:p>
            <w:pPr>
              <w:pStyle w:val="Compact"/>
              <w:jc w:val="right"/>
            </w:pPr>
            <w:r>
              <w:t xml:space="preserve">2</w:t>
            </w:r>
          </w:p>
        </w:tc>
        <w:tc>
          <w:tcPr/>
          <w:p>
            <w:pPr>
              <w:pStyle w:val="Compact"/>
              <w:jc w:val="right"/>
            </w:pPr>
            <w:r>
              <w:t xml:space="preserve">2</w:t>
            </w:r>
          </w:p>
        </w:tc>
        <w:tc>
          <w:tcPr/>
          <w:p>
            <w:pPr>
              <w:pStyle w:val="Compact"/>
              <w:jc w:val="right"/>
            </w:pPr>
            <w:r>
              <w:t xml:space="preserve">1.000</w:t>
            </w:r>
          </w:p>
        </w:tc>
        <w:tc>
          <w:tcPr/>
          <w:p>
            <w:pPr>
              <w:pStyle w:val="Compact"/>
              <w:jc w:val="right"/>
            </w:pPr>
            <w:r>
              <w:t xml:space="preserve">2</w:t>
            </w:r>
          </w:p>
        </w:tc>
        <w:tc>
          <w:tcPr/>
          <w:p>
            <w:pPr>
              <w:pStyle w:val="Compact"/>
              <w:jc w:val="right"/>
            </w:pPr>
            <w:r>
              <w:t xml:space="preserve">1.000</w:t>
            </w:r>
          </w:p>
        </w:tc>
      </w:tr>
      <w:tr>
        <w:tc>
          <w:tcPr/>
          <w:p>
            <w:pPr>
              <w:pStyle w:val="Compact"/>
              <w:jc w:val="left"/>
            </w:pPr>
            <w:r>
              <w:t xml:space="preserve">CCI-005</w:t>
            </w:r>
          </w:p>
        </w:tc>
        <w:tc>
          <w:tcPr/>
          <w:p>
            <w:pPr>
              <w:pStyle w:val="Compact"/>
              <w:jc w:val="right"/>
            </w:pPr>
            <w:r>
              <w:t xml:space="preserve">7</w:t>
            </w:r>
          </w:p>
        </w:tc>
        <w:tc>
          <w:tcPr/>
          <w:p>
            <w:pPr>
              <w:pStyle w:val="Compact"/>
              <w:jc w:val="right"/>
            </w:pPr>
            <w:r>
              <w:t xml:space="preserve">7</w:t>
            </w:r>
          </w:p>
        </w:tc>
        <w:tc>
          <w:tcPr/>
          <w:p>
            <w:pPr>
              <w:pStyle w:val="Compact"/>
              <w:jc w:val="right"/>
            </w:pPr>
            <w:r>
              <w:t xml:space="preserve">1.000</w:t>
            </w:r>
          </w:p>
        </w:tc>
        <w:tc>
          <w:tcPr/>
          <w:p>
            <w:pPr>
              <w:pStyle w:val="Compact"/>
              <w:jc w:val="right"/>
            </w:pPr>
            <w:r>
              <w:t xml:space="preserve">4</w:t>
            </w:r>
          </w:p>
        </w:tc>
        <w:tc>
          <w:tcPr/>
          <w:p>
            <w:pPr>
              <w:pStyle w:val="Compact"/>
              <w:jc w:val="right"/>
            </w:pPr>
            <w:r>
              <w:t xml:space="preserve">0.571</w:t>
            </w:r>
          </w:p>
        </w:tc>
      </w:tr>
      <w:tr>
        <w:tc>
          <w:tcPr/>
          <w:p>
            <w:pPr>
              <w:pStyle w:val="Compact"/>
              <w:jc w:val="left"/>
            </w:pPr>
            <w:r>
              <w:t xml:space="preserve">CCI-006</w:t>
            </w:r>
          </w:p>
        </w:tc>
        <w:tc>
          <w:tcPr/>
          <w:p>
            <w:pPr>
              <w:pStyle w:val="Compact"/>
              <w:jc w:val="right"/>
            </w:pPr>
            <w:r>
              <w:t xml:space="preserve">3</w:t>
            </w:r>
          </w:p>
        </w:tc>
        <w:tc>
          <w:tcPr/>
          <w:p>
            <w:pPr>
              <w:pStyle w:val="Compact"/>
              <w:jc w:val="right"/>
            </w:pPr>
            <w:r>
              <w:t xml:space="preserve">3</w:t>
            </w:r>
          </w:p>
        </w:tc>
        <w:tc>
          <w:tcPr/>
          <w:p>
            <w:pPr>
              <w:pStyle w:val="Compact"/>
              <w:jc w:val="right"/>
            </w:pPr>
            <w:r>
              <w:t xml:space="preserve">1.000</w:t>
            </w:r>
          </w:p>
        </w:tc>
        <w:tc>
          <w:tcPr/>
          <w:p>
            <w:pPr>
              <w:pStyle w:val="Compact"/>
              <w:jc w:val="right"/>
            </w:pPr>
            <w:r>
              <w:t xml:space="preserve">1</w:t>
            </w:r>
          </w:p>
        </w:tc>
        <w:tc>
          <w:tcPr/>
          <w:p>
            <w:pPr>
              <w:pStyle w:val="Compact"/>
              <w:jc w:val="right"/>
            </w:pPr>
            <w:r>
              <w:t xml:space="preserve">0.333</w:t>
            </w:r>
          </w:p>
        </w:tc>
      </w:tr>
      <w:tr>
        <w:tc>
          <w:tcPr/>
          <w:p>
            <w:pPr>
              <w:pStyle w:val="Compact"/>
              <w:jc w:val="left"/>
            </w:pPr>
            <w:r>
              <w:t xml:space="preserve">CCI-007</w:t>
            </w:r>
          </w:p>
        </w:tc>
        <w:tc>
          <w:tcPr/>
          <w:p>
            <w:pPr>
              <w:pStyle w:val="Compact"/>
              <w:jc w:val="right"/>
            </w:pPr>
            <w:r>
              <w:t xml:space="preserve">4</w:t>
            </w:r>
          </w:p>
        </w:tc>
        <w:tc>
          <w:tcPr/>
          <w:p>
            <w:pPr>
              <w:pStyle w:val="Compact"/>
              <w:jc w:val="right"/>
            </w:pPr>
            <w:r>
              <w:t xml:space="preserve">4</w:t>
            </w:r>
          </w:p>
        </w:tc>
        <w:tc>
          <w:tcPr/>
          <w:p>
            <w:pPr>
              <w:pStyle w:val="Compact"/>
              <w:jc w:val="right"/>
            </w:pPr>
            <w:r>
              <w:t xml:space="preserve">1.000</w:t>
            </w:r>
          </w:p>
        </w:tc>
        <w:tc>
          <w:tcPr/>
          <w:p>
            <w:pPr>
              <w:pStyle w:val="Compact"/>
              <w:jc w:val="right"/>
            </w:pPr>
            <w:r>
              <w:t xml:space="preserve">3</w:t>
            </w:r>
          </w:p>
        </w:tc>
        <w:tc>
          <w:tcPr/>
          <w:p>
            <w:pPr>
              <w:pStyle w:val="Compact"/>
              <w:jc w:val="right"/>
            </w:pPr>
            <w:r>
              <w:t xml:space="preserve">0.750</w:t>
            </w:r>
          </w:p>
        </w:tc>
      </w:tr>
      <w:tr>
        <w:tc>
          <w:tcPr/>
          <w:p>
            <w:pPr>
              <w:pStyle w:val="Compact"/>
              <w:jc w:val="left"/>
            </w:pPr>
            <w:r>
              <w:t xml:space="preserve">CCI-008</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1.000</w:t>
            </w:r>
          </w:p>
        </w:tc>
        <w:tc>
          <w:tcPr/>
          <w:p>
            <w:pPr>
              <w:pStyle w:val="Compact"/>
              <w:jc w:val="right"/>
            </w:pPr>
            <w:r>
              <w:t xml:space="preserve">1</w:t>
            </w:r>
          </w:p>
        </w:tc>
        <w:tc>
          <w:tcPr/>
          <w:p>
            <w:pPr>
              <w:pStyle w:val="Compact"/>
              <w:jc w:val="right"/>
            </w:pPr>
            <w:r>
              <w:t xml:space="preserve">1.000</w:t>
            </w:r>
          </w:p>
        </w:tc>
      </w:tr>
      <w:tr>
        <w:tc>
          <w:tcPr/>
          <w:p>
            <w:pPr>
              <w:pStyle w:val="Compact"/>
              <w:jc w:val="left"/>
            </w:pPr>
            <w:r>
              <w:t xml:space="preserve">CCI-009</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1.000</w:t>
            </w:r>
          </w:p>
        </w:tc>
        <w:tc>
          <w:tcPr/>
          <w:p>
            <w:pPr>
              <w:pStyle w:val="Compact"/>
              <w:jc w:val="right"/>
            </w:pPr>
            <w:r>
              <w:t xml:space="preserve">1</w:t>
            </w:r>
          </w:p>
        </w:tc>
        <w:tc>
          <w:tcPr/>
          <w:p>
            <w:pPr>
              <w:pStyle w:val="Compact"/>
              <w:jc w:val="right"/>
            </w:pPr>
            <w:r>
              <w:t xml:space="preserve">1.000</w:t>
            </w:r>
          </w:p>
        </w:tc>
      </w:tr>
      <w:tr>
        <w:tc>
          <w:tcPr/>
          <w:p>
            <w:pPr>
              <w:pStyle w:val="Compact"/>
              <w:jc w:val="left"/>
            </w:pPr>
            <w:r>
              <w:t xml:space="preserve">CCI-010</w:t>
            </w:r>
          </w:p>
        </w:tc>
        <w:tc>
          <w:tcPr/>
          <w:p>
            <w:pPr>
              <w:pStyle w:val="Compact"/>
              <w:jc w:val="right"/>
            </w:pPr>
            <w:r>
              <w:t xml:space="preserve">1</w:t>
            </w:r>
          </w:p>
        </w:tc>
        <w:tc>
          <w:tcPr/>
          <w:p>
            <w:pPr>
              <w:pStyle w:val="Compact"/>
              <w:jc w:val="right"/>
            </w:pPr>
            <w:r>
              <w:t xml:space="preserve">1</w:t>
            </w:r>
          </w:p>
        </w:tc>
        <w:tc>
          <w:tcPr/>
          <w:p>
            <w:pPr>
              <w:pStyle w:val="Compact"/>
              <w:jc w:val="right"/>
            </w:pPr>
            <w:r>
              <w:t xml:space="preserve">1.000</w:t>
            </w:r>
          </w:p>
        </w:tc>
        <w:tc>
          <w:tcPr/>
          <w:p>
            <w:pPr>
              <w:pStyle w:val="Compact"/>
              <w:jc w:val="right"/>
            </w:pPr>
            <w:r>
              <w:t xml:space="preserve">1</w:t>
            </w:r>
          </w:p>
        </w:tc>
        <w:tc>
          <w:tcPr/>
          <w:p>
            <w:pPr>
              <w:pStyle w:val="Compact"/>
              <w:jc w:val="right"/>
            </w:pPr>
            <w:r>
              <w:t xml:space="preserve">1.000</w:t>
            </w:r>
          </w:p>
        </w:tc>
      </w:tr>
      <w:tr>
        <w:tc>
          <w:tcPr/>
          <w:p>
            <w:pPr>
              <w:pStyle w:val="Compact"/>
              <w:jc w:val="left"/>
            </w:pPr>
            <w:r>
              <w:rPr>
                <w:b/>
                <w:bCs/>
              </w:rPr>
              <w:t xml:space="preserve">Total / Macro</w:t>
            </w:r>
          </w:p>
        </w:tc>
        <w:tc>
          <w:tcPr/>
          <w:p>
            <w:pPr>
              <w:pStyle w:val="Compact"/>
              <w:jc w:val="right"/>
            </w:pPr>
            <w:r>
              <w:rPr>
                <w:b/>
                <w:bCs/>
              </w:rPr>
              <w:t xml:space="preserve">25</w:t>
            </w:r>
          </w:p>
        </w:tc>
        <w:tc>
          <w:tcPr/>
          <w:p>
            <w:pPr>
              <w:pStyle w:val="Compact"/>
              <w:jc w:val="right"/>
            </w:pPr>
            <w:r>
              <w:rPr>
                <w:b/>
                <w:bCs/>
              </w:rPr>
              <w:t xml:space="preserve">25</w:t>
            </w:r>
          </w:p>
        </w:tc>
        <w:tc>
          <w:tcPr/>
          <w:p>
            <w:pPr>
              <w:pStyle w:val="Compact"/>
              <w:jc w:val="right"/>
            </w:pPr>
            <w:r>
              <w:rPr>
                <w:b/>
                <w:bCs/>
              </w:rPr>
              <w:t xml:space="preserve">1.000</w:t>
            </w:r>
          </w:p>
        </w:tc>
        <w:tc>
          <w:tcPr/>
          <w:p>
            <w:pPr>
              <w:pStyle w:val="Compact"/>
              <w:jc w:val="right"/>
            </w:pPr>
            <w:r>
              <w:rPr>
                <w:b/>
                <w:bCs/>
              </w:rPr>
              <w:t xml:space="preserve">18</w:t>
            </w:r>
          </w:p>
        </w:tc>
        <w:tc>
          <w:tcPr/>
          <w:p>
            <w:pPr>
              <w:pStyle w:val="Compact"/>
              <w:jc w:val="right"/>
            </w:pPr>
            <w:r>
              <w:rPr>
                <w:b/>
                <w:bCs/>
              </w:rPr>
              <w:t xml:space="preserve">0.832</w:t>
            </w:r>
          </w:p>
        </w:tc>
      </w:tr>
    </w:tbl>
    <w:bookmarkEnd w:id="56"/>
    <w:bookmarkEnd w:id="57"/>
    <w:bookmarkStart w:id="58" w:name="reading-the-gap"/>
    <w:p>
      <w:pPr>
        <w:pStyle w:val="Heading2"/>
      </w:pPr>
      <w:r>
        <w:t xml:space="preserve">Reading the gap</w:t>
      </w:r>
    </w:p>
    <w:p>
      <w:pPr>
        <w:pStyle w:val="FirstParagraph"/>
      </w:pPr>
      <w:r>
        <w:t xml:space="preserve">The contrast between the two tables is the paper’s most useful result.</w:t>
      </w:r>
      <w:r>
        <w:t xml:space="preserve"> </w:t>
      </w:r>
      <w:r>
        <w:t xml:space="preserve">The in-sample gate guarantees that the engines agree on every sample</w:t>
      </w:r>
      <w:r>
        <w:t xml:space="preserve"> </w:t>
      </w:r>
      <w:r>
        <w:t xml:space="preserve">they have seen, and they do. The held-out slice removes that guarantee</w:t>
      </w:r>
      <w:r>
        <w:t xml:space="preserve"> </w:t>
      </w:r>
      <w:r>
        <w:t xml:space="preserve">and asks a harder question: when a new attack arrives, do both engines</w:t>
      </w:r>
      <w:r>
        <w:t xml:space="preserve"> </w:t>
      </w:r>
      <w:r>
        <w:t xml:space="preserve">catch it? For the Python engine the answer is yes across all 25; for the</w:t>
      </w:r>
      <w:r>
        <w:t xml:space="preserve"> </w:t>
      </w:r>
      <w:r>
        <w:t xml:space="preserve">TypeScript port it is no for seven. The misses concentrate in the</w:t>
      </w:r>
      <w:r>
        <w:t xml:space="preserve"> </w:t>
      </w:r>
      <w:r>
        <w:t xml:space="preserve">detectors with the most held-out support (CCI-005 and CCI-006), which is</w:t>
      </w:r>
      <w:r>
        <w:t xml:space="preserve"> </w:t>
      </w:r>
      <w:r>
        <w:t xml:space="preserve">where a port is most likely to lag the canonical engine on shapes it was</w:t>
      </w:r>
      <w:r>
        <w:t xml:space="preserve"> </w:t>
      </w:r>
      <w:r>
        <w:t xml:space="preserve">never tuned against. These are open findings, not closed claims. Each is</w:t>
      </w:r>
      <w:r>
        <w:t xml:space="preserve"> </w:t>
      </w:r>
      <w:r>
        <w:t xml:space="preserve">a candidate for a lockstep ratchet (Path C) recorded in the</w:t>
      </w:r>
      <w:r>
        <w:t xml:space="preserve"> </w:t>
      </w:r>
      <w:r>
        <w:t xml:space="preserve">false-negative ledger, and each will move the TypeScript engine toward</w:t>
      </w:r>
      <w:r>
        <w:t xml:space="preserve"> </w:t>
      </w:r>
      <w:r>
        <w:t xml:space="preserve">the Python engine’s held-out recovery in a later round.</w:t>
      </w:r>
    </w:p>
    <w:p>
      <w:pPr>
        <w:pStyle w:val="BodyText"/>
      </w:pPr>
      <w:r>
        <w:t xml:space="preserve">The combined reading of RQ1 and RQ2 is therefore: the detectors</w:t>
      </w:r>
      <w:r>
        <w:t xml:space="preserve"> </w:t>
      </w:r>
      <w:r>
        <w:t xml:space="preserve">are saturated on the in-sample slice at this corpus size, with one</w:t>
      </w:r>
      <w:r>
        <w:t xml:space="preserve"> </w:t>
      </w:r>
      <w:r>
        <w:t xml:space="preserve">known precision item; and they generalize fully in one engine but</w:t>
      </w:r>
      <w:r>
        <w:t xml:space="preserve"> </w:t>
      </w:r>
      <w:r>
        <w:t xml:space="preserve">partially in the other. A single all-1.000 figure would have hidden the</w:t>
      </w:r>
      <w:r>
        <w:t xml:space="preserve"> </w:t>
      </w:r>
      <w:r>
        <w:t xml:space="preserve">one result a reviewer should most want to see.</w:t>
      </w:r>
    </w:p>
    <w:bookmarkEnd w:id="58"/>
    <w:bookmarkStart w:id="60" w:name="subsec:eval-ci"/>
    <w:p>
      <w:pPr>
        <w:pStyle w:val="Heading2"/>
      </w:pPr>
      <w:r>
        <w:t xml:space="preserve">Statistical confidence</w:t>
      </w:r>
    </w:p>
    <w:p>
      <w:pPr>
        <w:pStyle w:val="FirstParagraph"/>
      </w:pPr>
      <w:r>
        <w:t xml:space="preserve">A point estimate on a small slice can mislead, so we report Wilson score</w:t>
      </w:r>
      <w:r>
        <w:t xml:space="preserve"> </w:t>
      </w:r>
      <w:r>
        <w:t xml:space="preserve">95% confidence intervals on the underlying proportions. These are</w:t>
      </w:r>
      <w:r>
        <w:t xml:space="preserve"> </w:t>
      </w:r>
      <w:r>
        <w:t xml:space="preserve">computed in closed form from the committed</w:t>
      </w:r>
      <w:r>
        <w:t xml:space="preserve"> </w:t>
      </w:r>
      <w:r>
        <w:rPr>
          <w:rStyle w:val="VerbatimChar"/>
        </w:rPr>
        <w:t xml:space="preserve">(tp, fp, tn, fn)</w:t>
      </w:r>
      <w:r>
        <w:t xml:space="preserve"> </w:t>
      </w:r>
      <w:r>
        <w:t xml:space="preserve">counts, so they are reproducible without</w:t>
      </w:r>
      <w:r>
        <w:t xml:space="preserve"> </w:t>
      </w:r>
      <w:r>
        <w:t xml:space="preserve">re-running the engines. Table </w:t>
      </w:r>
      <w:hyperlink w:anchor="tab:ci">
        <w:r>
          <w:rPr>
            <w:rStyle w:val="Hyperlink"/>
          </w:rPr>
          <w:t xml:space="preserve">3</w:t>
        </w:r>
      </w:hyperlink>
      <w:r>
        <w:t xml:space="preserve"> </w:t>
      </w:r>
      <w:r>
        <w:t xml:space="preserve">gives the load-bearing</w:t>
      </w:r>
      <w:r>
        <w:t xml:space="preserve"> </w:t>
      </w:r>
      <w:r>
        <w:t xml:space="preserve">quantities.</w:t>
      </w:r>
    </w:p>
    <w:bookmarkStart w:id="59" w:name="tab:ci"/>
    <w:p>
      <w:pPr>
        <w:pStyle w:val="TableCaption"/>
      </w:pPr>
      <w:r>
        <w:t xml:space="preserve">Wilson 95% confidence intervals on the pooled proportions</w:t>
      </w:r>
      <w:r>
        <w:t xml:space="preserve"> </w:t>
      </w:r>
      <w:r>
        <w:t xml:space="preserve">behind the headline numbers. Pooled recall weights every sample equally</w:t>
      </w:r>
      <w:r>
        <w:t xml:space="preserve"> </w:t>
      </w:r>
      <w:r>
        <w:t xml:space="preserve">and so differs from the unweighted macro recall (TypeScript macro recall</w:t>
      </w:r>
      <w:r>
        <w:t xml:space="preserve"> </w:t>
      </w:r>
      <w:r>
        <w:t xml:space="preserve">0.832 vs. pooled 0.720). Small support widens every interval.</w:t>
      </w:r>
    </w:p>
    <w:tbl>
      <w:tblPr>
        <w:tblStyle w:val="Table"/>
        <w:tblW w:type="auto" w:w="0"/>
        <w:tblLook w:firstRow="1" w:lastRow="0" w:firstColumn="0" w:lastColumn="0" w:noHBand="0" w:noVBand="0" w:val="0020"/>
        <w:tblCaption w:val="Wilson 95% confidence intervals on the pooled proportions behind the headline numbers. Pooled recall weights every sample equally and so differs from the unweighted macro recall (TypeScript macro recall 0.832 vs. pooled 0.720). Small support widens every interval."/>
      </w:tblPr>
      <w:tblGrid>
        <w:gridCol w:w="2640"/>
        <w:gridCol w:w="2640"/>
        <w:gridCol w:w="2640"/>
      </w:tblGrid>
      <w:tr>
        <w:trPr>
          <w:tblHeader w:val="on"/>
        </w:trPr>
        <w:tc>
          <w:tcPr/>
          <w:p>
            <w:pPr>
              <w:pStyle w:val="Compact"/>
              <w:jc w:val="left"/>
            </w:pPr>
            <w:r>
              <w:t xml:space="preserve">Quantity (pooled)</w:t>
            </w:r>
          </w:p>
        </w:tc>
        <w:tc>
          <w:tcPr/>
          <w:p>
            <w:pPr>
              <w:pStyle w:val="Compact"/>
              <w:jc w:val="center"/>
            </w:pPr>
            <w:r>
              <w:t xml:space="preserve">Point (</w:t>
            </w:r>
            <m:oMath>
              <m:r>
                <m:t>k</m:t>
              </m:r>
              <m:r>
                <m:rPr>
                  <m:sty m:val="p"/>
                </m:rPr>
                <m:t>/</m:t>
              </m:r>
              <m:r>
                <m:t>n</m:t>
              </m:r>
            </m:oMath>
            <w:r>
              <w:t xml:space="preserve">)</w:t>
            </w:r>
          </w:p>
        </w:tc>
        <w:tc>
          <w:tcPr/>
          <w:p>
            <w:pPr>
              <w:pStyle w:val="Compact"/>
              <w:jc w:val="center"/>
            </w:pPr>
            <w:r>
              <w:t xml:space="preserve">95% CI</w:t>
            </w:r>
          </w:p>
        </w:tc>
      </w:tr>
      <w:tr>
        <w:tc>
          <w:tcPr/>
          <w:p>
            <w:pPr>
              <w:pStyle w:val="Compact"/>
              <w:jc w:val="left"/>
            </w:pPr>
            <w:r>
              <w:t xml:space="preserve">In-sample adversarial recall</w:t>
            </w:r>
          </w:p>
        </w:tc>
        <w:tc>
          <w:tcPr/>
          <w:p>
            <w:pPr>
              <w:pStyle w:val="Compact"/>
              <w:jc w:val="center"/>
            </w:pPr>
            <m:oMath>
              <m:r>
                <m:t>62</m:t>
              </m:r>
              <m:r>
                <m:rPr>
                  <m:sty m:val="p"/>
                </m:rPr>
                <m:t>/</m:t>
              </m:r>
              <m:r>
                <m:t>62</m:t>
              </m:r>
            </m:oMath>
          </w:p>
        </w:tc>
        <w:tc>
          <w:tcPr/>
          <w:p>
            <w:pPr>
              <w:pStyle w:val="Compact"/>
              <w:jc w:val="center"/>
            </w:pPr>
            <m:oMath>
              <m:r>
                <m:rPr>
                  <m:sty m:val="p"/>
                </m:rPr>
                <m:t>[</m:t>
              </m:r>
              <m:r>
                <m:t>0.942</m:t>
              </m:r>
              <m:r>
                <m:rPr>
                  <m:sty m:val="p"/>
                </m:rPr>
                <m:t>,</m:t>
              </m:r>
              <m:r>
                <m:t>1.000</m:t>
              </m:r>
              <m:r>
                <m:rPr>
                  <m:sty m:val="p"/>
                </m:rPr>
                <m:t>]</m:t>
              </m:r>
            </m:oMath>
          </w:p>
        </w:tc>
      </w:tr>
      <w:tr>
        <w:tc>
          <w:tcPr/>
          <w:p>
            <w:pPr>
              <w:pStyle w:val="Compact"/>
              <w:jc w:val="left"/>
            </w:pPr>
            <w:r>
              <w:t xml:space="preserve">In-sample benign FP rate</w:t>
            </w:r>
          </w:p>
        </w:tc>
        <w:tc>
          <w:tcPr/>
          <w:p>
            <w:pPr>
              <w:pStyle w:val="Compact"/>
              <w:jc w:val="center"/>
            </w:pPr>
            <m:oMath>
              <m:r>
                <m:t>1</m:t>
              </m:r>
              <m:r>
                <m:rPr>
                  <m:sty m:val="p"/>
                </m:rPr>
                <m:t>/</m:t>
              </m:r>
              <m:r>
                <m:t>370</m:t>
              </m:r>
            </m:oMath>
          </w:p>
        </w:tc>
        <w:tc>
          <w:tcPr/>
          <w:p>
            <w:pPr>
              <w:pStyle w:val="Compact"/>
              <w:jc w:val="center"/>
            </w:pPr>
            <m:oMath>
              <m:r>
                <m:rPr>
                  <m:sty m:val="p"/>
                </m:rPr>
                <m:t>[</m:t>
              </m:r>
              <m:r>
                <m:t>0.0005</m:t>
              </m:r>
              <m:r>
                <m:rPr>
                  <m:sty m:val="p"/>
                </m:rPr>
                <m:t>,</m:t>
              </m:r>
              <m:r>
                <m:t>0.0151</m:t>
              </m:r>
              <m:r>
                <m:rPr>
                  <m:sty m:val="p"/>
                </m:rPr>
                <m:t>]</m:t>
              </m:r>
            </m:oMath>
          </w:p>
        </w:tc>
      </w:tr>
      <w:tr>
        <w:tc>
          <w:tcPr/>
          <w:p>
            <w:pPr>
              <w:pStyle w:val="Compact"/>
              <w:jc w:val="left"/>
            </w:pPr>
            <w:r>
              <w:t xml:space="preserve">CCI-005 precision</w:t>
            </w:r>
          </w:p>
        </w:tc>
        <w:tc>
          <w:tcPr/>
          <w:p>
            <w:pPr>
              <w:pStyle w:val="Compact"/>
              <w:jc w:val="center"/>
            </w:pPr>
            <m:oMath>
              <m:r>
                <m:t>5</m:t>
              </m:r>
              <m:r>
                <m:rPr>
                  <m:sty m:val="p"/>
                </m:rPr>
                <m:t>/</m:t>
              </m:r>
              <m:r>
                <m:t>6</m:t>
              </m:r>
            </m:oMath>
          </w:p>
        </w:tc>
        <w:tc>
          <w:tcPr/>
          <w:p>
            <w:pPr>
              <w:pStyle w:val="Compact"/>
              <w:jc w:val="center"/>
            </w:pPr>
            <m:oMath>
              <m:r>
                <m:rPr>
                  <m:sty m:val="p"/>
                </m:rPr>
                <m:t>[</m:t>
              </m:r>
              <m:r>
                <m:t>0.436</m:t>
              </m:r>
              <m:r>
                <m:rPr>
                  <m:sty m:val="p"/>
                </m:rPr>
                <m:t>,</m:t>
              </m:r>
              <m:r>
                <m:t>0.970</m:t>
              </m:r>
              <m:r>
                <m:rPr>
                  <m:sty m:val="p"/>
                </m:rPr>
                <m:t>]</m:t>
              </m:r>
            </m:oMath>
          </w:p>
        </w:tc>
      </w:tr>
      <w:tr>
        <w:tc>
          <w:tcPr/>
          <w:p>
            <w:pPr>
              <w:pStyle w:val="Compact"/>
              <w:jc w:val="left"/>
            </w:pPr>
            <w:r>
              <w:t xml:space="preserve">Held-out recall, Python</w:t>
            </w:r>
          </w:p>
        </w:tc>
        <w:tc>
          <w:tcPr/>
          <w:p>
            <w:pPr>
              <w:pStyle w:val="Compact"/>
              <w:jc w:val="center"/>
            </w:pPr>
            <m:oMath>
              <m:r>
                <m:t>25</m:t>
              </m:r>
              <m:r>
                <m:rPr>
                  <m:sty m:val="p"/>
                </m:rPr>
                <m:t>/</m:t>
              </m:r>
              <m:r>
                <m:t>25</m:t>
              </m:r>
            </m:oMath>
          </w:p>
        </w:tc>
        <w:tc>
          <w:tcPr/>
          <w:p>
            <w:pPr>
              <w:pStyle w:val="Compact"/>
              <w:jc w:val="center"/>
            </w:pPr>
            <m:oMath>
              <m:r>
                <m:rPr>
                  <m:sty m:val="p"/>
                </m:rPr>
                <m:t>[</m:t>
              </m:r>
              <m:r>
                <m:t>0.867</m:t>
              </m:r>
              <m:r>
                <m:rPr>
                  <m:sty m:val="p"/>
                </m:rPr>
                <m:t>,</m:t>
              </m:r>
              <m:r>
                <m:t>1.000</m:t>
              </m:r>
              <m:r>
                <m:rPr>
                  <m:sty m:val="p"/>
                </m:rPr>
                <m:t>]</m:t>
              </m:r>
            </m:oMath>
          </w:p>
        </w:tc>
      </w:tr>
      <w:tr>
        <w:tc>
          <w:tcPr/>
          <w:p>
            <w:pPr>
              <w:pStyle w:val="Compact"/>
              <w:jc w:val="left"/>
            </w:pPr>
            <w:r>
              <w:t xml:space="preserve">Held-out recall, TypeScript</w:t>
            </w:r>
          </w:p>
        </w:tc>
        <w:tc>
          <w:tcPr/>
          <w:p>
            <w:pPr>
              <w:pStyle w:val="Compact"/>
              <w:jc w:val="center"/>
            </w:pPr>
            <m:oMath>
              <m:r>
                <m:t>18</m:t>
              </m:r>
              <m:r>
                <m:rPr>
                  <m:sty m:val="p"/>
                </m:rPr>
                <m:t>/</m:t>
              </m:r>
              <m:r>
                <m:t>25</m:t>
              </m:r>
            </m:oMath>
          </w:p>
        </w:tc>
        <w:tc>
          <w:tcPr/>
          <w:p>
            <w:pPr>
              <w:pStyle w:val="Compact"/>
              <w:jc w:val="center"/>
            </w:pPr>
            <m:oMath>
              <m:r>
                <m:rPr>
                  <m:sty m:val="p"/>
                </m:rPr>
                <m:t>[</m:t>
              </m:r>
              <m:r>
                <m:t>0.524</m:t>
              </m:r>
              <m:r>
                <m:rPr>
                  <m:sty m:val="p"/>
                </m:rPr>
                <m:t>,</m:t>
              </m:r>
              <m:r>
                <m:t>0.857</m:t>
              </m:r>
              <m:r>
                <m:rPr>
                  <m:sty m:val="p"/>
                </m:rPr>
                <m:t>]</m:t>
              </m:r>
            </m:oMath>
          </w:p>
        </w:tc>
      </w:tr>
    </w:tbl>
    <w:bookmarkEnd w:id="59"/>
    <w:p>
      <w:pPr>
        <w:pStyle w:val="BodyText"/>
      </w:pPr>
      <w:r>
        <w:t xml:space="preserve">Two readings follow. First, the intervals are honest about size: the</w:t>
      </w:r>
      <w:r>
        <w:t xml:space="preserve"> </w:t>
      </w:r>
      <w:r>
        <w:t xml:space="preserve">single CCI-005 false positive yields a precision point of 0.833 but a</w:t>
      </w:r>
      <w:r>
        <w:t xml:space="preserve"> </w:t>
      </w:r>
      <w:r>
        <w:t xml:space="preserve">95% interval from 0.436 to 0.970, so we cannot yet claim a tight bound</w:t>
      </w:r>
      <w:r>
        <w:t xml:space="preserve"> </w:t>
      </w:r>
      <w:r>
        <w:t xml:space="preserve">on that detector’s precision. Second, the cross-engine gap is suggestive</w:t>
      </w:r>
      <w:r>
        <w:t xml:space="preserve"> </w:t>
      </w:r>
      <w:r>
        <w:t xml:space="preserve">but not air-tight: the Python held-out interval (</w:t>
      </w:r>
      <m:oMath>
        <m:r>
          <m:rPr>
            <m:sty m:val="p"/>
          </m:rPr>
          <m:t>[</m:t>
        </m:r>
        <m:r>
          <m:t>0.867</m:t>
        </m:r>
        <m:r>
          <m:rPr>
            <m:sty m:val="p"/>
          </m:rPr>
          <m:t>,</m:t>
        </m:r>
        <m:r>
          <m:t>1.000</m:t>
        </m:r>
        <m:r>
          <m:rPr>
            <m:sty m:val="p"/>
          </m:rPr>
          <m:t>]</m:t>
        </m:r>
      </m:oMath>
      <w:r>
        <w:t xml:space="preserve">) sits</w:t>
      </w:r>
      <w:r>
        <w:t xml:space="preserve"> </w:t>
      </w:r>
      <w:r>
        <w:t xml:space="preserve">almost entirely above the TypeScript point estimate (0.720), yet the two</w:t>
      </w:r>
      <w:r>
        <w:t xml:space="preserve"> </w:t>
      </w:r>
      <w:r>
        <w:t xml:space="preserve">intervals overlap, so the gap is best described as a measured drift to</w:t>
      </w:r>
      <w:r>
        <w:t xml:space="preserve"> </w:t>
      </w:r>
      <w:r>
        <w:t xml:space="preserve">close, not a settled performance difference. Both readings argue the</w:t>
      </w:r>
      <w:r>
        <w:t xml:space="preserve"> </w:t>
      </w:r>
      <w:r>
        <w:t xml:space="preserve">same way the limitations below do: the result needs a larger corpus</w:t>
      </w:r>
      <w:r>
        <w:t xml:space="preserve"> </w:t>
      </w:r>
      <w:r>
        <w:t xml:space="preserve">before any interval narrows enough to support a general claim.</w:t>
      </w:r>
    </w:p>
    <w:bookmarkEnd w:id="60"/>
    <w:bookmarkStart w:id="61" w:name="subsec:eval-perf"/>
    <w:p>
      <w:pPr>
        <w:pStyle w:val="Heading2"/>
      </w:pPr>
      <w:r>
        <w:t xml:space="preserve">Performance</w:t>
      </w:r>
    </w:p>
    <w:p>
      <w:pPr>
        <w:pStyle w:val="FirstParagraph"/>
      </w:pPr>
      <w:r>
        <w:t xml:space="preserve">Static validation is only useful in CI if it is cheap. We timed the full</w:t>
      </w:r>
      <w:r>
        <w:t xml:space="preserve"> </w:t>
      </w:r>
      <w:r>
        <w:t xml:space="preserve">ten-detector Python pass over all 124 corpus primitives (mean size</w:t>
      </w:r>
      <w:r>
        <w:t xml:space="preserve"> </w:t>
      </w:r>
      <w:r>
        <w:t xml:space="preserve">1</w:t>
      </w:r>
      <w:r>
        <w:t xml:space="preserve">,</w:t>
      </w:r>
      <w:r>
        <w:t xml:space="preserve">424 B, median 458 B), five iterations after warmup, single-threaded</w:t>
      </w:r>
      <w:r>
        <w:t xml:space="preserve"> </w:t>
      </w:r>
      <w:r>
        <w:t xml:space="preserve">on a commodity host. Per-primitive latency for the complete pass is a</w:t>
      </w:r>
      <w:r>
        <w:t xml:space="preserve"> </w:t>
      </w:r>
      <w:r>
        <w:t xml:space="preserve">median of 1.5 ms, a 95th percentile of 4.7 ms, and a 99th percentile of</w:t>
      </w:r>
      <w:r>
        <w:t xml:space="preserve"> </w:t>
      </w:r>
      <w:r>
        <w:t xml:space="preserve">20.6 ms; the tail is driven by the deliberately oversized</w:t>
      </w:r>
      <w:r>
        <w:t xml:space="preserve"> </w:t>
      </w:r>
      <w:r>
        <w:t xml:space="preserve">context-bloat sample (101 KB). Throughput is roughly 227 primitives per</w:t>
      </w:r>
      <w:r>
        <w:t xml:space="preserve"> </w:t>
      </w:r>
      <w:r>
        <w:t xml:space="preserve">second per core. The cost is dominated by linear regex scans and a</w:t>
      </w:r>
      <w:r>
        <w:t xml:space="preserve"> </w:t>
      </w:r>
      <w:r>
        <w:t xml:space="preserve">single markdown-context pass, so it scales with primitive size rather</w:t>
      </w:r>
      <w:r>
        <w:t xml:space="preserve"> </w:t>
      </w:r>
      <w:r>
        <w:t xml:space="preserve">than repository size, and a per-file scan adds negligible overhead to a</w:t>
      </w:r>
      <w:r>
        <w:t xml:space="preserve"> </w:t>
      </w:r>
      <w:r>
        <w:t xml:space="preserve">pull request. We report the Python engine here; an equivalent TypeScript</w:t>
      </w:r>
      <w:r>
        <w:t xml:space="preserve"> </w:t>
      </w:r>
      <w:r>
        <w:t xml:space="preserve">measurement and a size-scaling curve are deferred to the next round.</w:t>
      </w:r>
    </w:p>
    <w:bookmarkEnd w:id="61"/>
    <w:bookmarkStart w:id="63" w:name="subsec:eval-ablation"/>
    <w:p>
      <w:pPr>
        <w:pStyle w:val="Heading2"/>
      </w:pPr>
      <w:r>
        <w:t xml:space="preserve">Ablation and a naive baseline</w:t>
      </w:r>
    </w:p>
    <w:p>
      <w:pPr>
        <w:pStyle w:val="FirstParagraph"/>
      </w:pPr>
      <w:r>
        <w:t xml:space="preserve">To isolate what the context-awareness machinery contributes, we</w:t>
      </w:r>
      <w:r>
        <w:t xml:space="preserve"> </w:t>
      </w:r>
      <w:r>
        <w:t xml:space="preserve">re-measured the in-sample slice with each analyzer neutralized, reusing</w:t>
      </w:r>
      <w:r>
        <w:t xml:space="preserve"> </w:t>
      </w:r>
      <w:r>
        <w:t xml:space="preserve">the same scoring as the regression gate (the</w:t>
      </w:r>
      <w:r>
        <w:t xml:space="preserve"> </w:t>
      </w:r>
      <w:r>
        <w:rPr>
          <w:rStyle w:val="VerbatimChar"/>
        </w:rPr>
        <w:t xml:space="preserve">full</w:t>
      </w:r>
      <w:r>
        <w:t xml:space="preserve"> </w:t>
      </w:r>
      <w:r>
        <w:t xml:space="preserve">row</w:t>
      </w:r>
      <w:r>
        <w:t xml:space="preserve"> </w:t>
      </w:r>
      <w:r>
        <w:t xml:space="preserve">reproduces the committed baseline, which validates the harness).</w:t>
      </w:r>
      <w:r>
        <w:t xml:space="preserve"> </w:t>
      </w:r>
      <w:r>
        <w:t xml:space="preserve">Table </w:t>
      </w:r>
      <w:hyperlink w:anchor="tab:ablation">
        <w:r>
          <w:rPr>
            <w:rStyle w:val="Hyperlink"/>
          </w:rPr>
          <w:t xml:space="preserve">4</w:t>
        </w:r>
      </w:hyperlink>
      <w:r>
        <w:t xml:space="preserve"> </w:t>
      </w:r>
      <w:r>
        <w:t xml:space="preserve">reports the result. The</w:t>
      </w:r>
      <w:r>
        <w:t xml:space="preserve"> </w:t>
      </w:r>
      <w:r>
        <w:rPr>
          <w:rStyle w:val="VerbatimChar"/>
        </w:rPr>
        <w:t xml:space="preserve">naive</w:t>
      </w:r>
      <w:r>
        <w:t xml:space="preserve"> </w:t>
      </w:r>
      <w:r>
        <w:t xml:space="preserve">row, with</w:t>
      </w:r>
      <w:r>
        <w:t xml:space="preserve"> </w:t>
      </w:r>
      <w:r>
        <w:t xml:space="preserve">both analyzers off, is the detectors’ raw pattern pools with no context</w:t>
      </w:r>
      <w:r>
        <w:t xml:space="preserve"> </w:t>
      </w:r>
      <w:r>
        <w:t xml:space="preserve">awareness: a naive keyword/regex baseline.</w:t>
      </w:r>
    </w:p>
    <w:bookmarkStart w:id="62" w:name="tab:ablation"/>
    <w:p>
      <w:pPr>
        <w:pStyle w:val="TableCaption"/>
      </w:pPr>
      <w:r>
        <w:t xml:space="preserve">Ablation on the in-sample slice. Recall is invariant because</w:t>
      </w:r>
      <w:r>
        <w:t xml:space="preserve"> </w:t>
      </w:r>
      <w:r>
        <w:t xml:space="preserve">the analyzers only suppress matches, never add them; the effect is</w:t>
      </w:r>
      <w:r>
        <w:t xml:space="preserve"> </w:t>
      </w:r>
      <w:r>
        <w:t xml:space="preserve">entirely on precision and false positives. Source:</w:t>
      </w:r>
      <w:r>
        <w:t xml:space="preserve"> </w:t>
      </w:r>
      <w:r>
        <w:rPr>
          <w:rStyle w:val="VerbatimChar"/>
        </w:rPr>
        <w:t xml:space="preserve">bench/scripts/ablation.py</w:t>
      </w:r>
      <w:r>
        <w:t xml:space="preserve">.</w:t>
      </w:r>
    </w:p>
    <w:tbl>
      <w:tblPr>
        <w:tblStyle w:val="Table"/>
        <w:tblW w:type="auto" w:w="0"/>
        <w:tblLook w:firstRow="1" w:lastRow="0" w:firstColumn="0" w:lastColumn="0" w:noHBand="0" w:noVBand="0" w:val="0020"/>
        <w:tblCaption w:val="Ablation on the in-sample slice. Recall is invariant because the analyzers only suppress matches, never add them; the effect is entirely on precision and false positives. Source: bench/scripts/ablation.py."/>
      </w:tblPr>
      <w:tblGrid>
        <w:gridCol w:w="1584"/>
        <w:gridCol w:w="1584"/>
        <w:gridCol w:w="1584"/>
        <w:gridCol w:w="1584"/>
        <w:gridCol w:w="1584"/>
      </w:tblGrid>
      <w:tr>
        <w:trPr>
          <w:tblHeader w:val="on"/>
        </w:trPr>
        <w:tc>
          <w:tcPr/>
          <w:p>
            <w:pPr>
              <w:pStyle w:val="Compact"/>
              <w:jc w:val="left"/>
            </w:pPr>
            <w:r>
              <w:t xml:space="preserve">Configuration</w:t>
            </w:r>
          </w:p>
        </w:tc>
        <w:tc>
          <w:tcPr/>
          <w:p>
            <w:pPr>
              <w:pStyle w:val="Compact"/>
              <w:jc w:val="center"/>
            </w:pPr>
            <w:r>
              <w:t xml:space="preserve">Precision</w:t>
            </w:r>
          </w:p>
        </w:tc>
        <w:tc>
          <w:tcPr/>
          <w:p>
            <w:pPr>
              <w:pStyle w:val="Compact"/>
              <w:jc w:val="center"/>
            </w:pPr>
            <w:r>
              <w:t xml:space="preserve">Recall</w:t>
            </w:r>
          </w:p>
        </w:tc>
        <w:tc>
          <w:tcPr/>
          <w:p>
            <w:pPr>
              <w:pStyle w:val="Compact"/>
              <w:jc w:val="center"/>
            </w:pPr>
            <w:r>
              <w:t xml:space="preserve">F</w:t>
            </w:r>
            <w:r>
              <w:rPr>
                <w:vertAlign w:val="subscript"/>
              </w:rPr>
              <w:t xml:space="preserve">1</w:t>
            </w:r>
          </w:p>
        </w:tc>
        <w:tc>
          <w:tcPr/>
          <w:p>
            <w:pPr>
              <w:pStyle w:val="Compact"/>
              <w:jc w:val="center"/>
            </w:pPr>
            <w:r>
              <w:t xml:space="preserve">FP</w:t>
            </w:r>
          </w:p>
        </w:tc>
      </w:tr>
      <w:tr>
        <w:tc>
          <w:tcPr/>
          <w:p>
            <w:pPr>
              <w:pStyle w:val="Compact"/>
              <w:jc w:val="left"/>
            </w:pPr>
            <w:r>
              <w:t xml:space="preserve">Full pipeline</w:t>
            </w:r>
          </w:p>
        </w:tc>
        <w:tc>
          <w:tcPr/>
          <w:p>
            <w:pPr>
              <w:pStyle w:val="Compact"/>
              <w:jc w:val="center"/>
            </w:pPr>
            <w:r>
              <w:t xml:space="preserve">0.983</w:t>
            </w:r>
          </w:p>
        </w:tc>
        <w:tc>
          <w:tcPr/>
          <w:p>
            <w:pPr>
              <w:pStyle w:val="Compact"/>
              <w:jc w:val="center"/>
            </w:pPr>
            <w:r>
              <w:t xml:space="preserve">1.000</w:t>
            </w:r>
          </w:p>
        </w:tc>
        <w:tc>
          <w:tcPr/>
          <w:p>
            <w:pPr>
              <w:pStyle w:val="Compact"/>
              <w:jc w:val="center"/>
            </w:pPr>
            <w:r>
              <w:t xml:space="preserve">0.991</w:t>
            </w:r>
          </w:p>
        </w:tc>
        <w:tc>
          <w:tcPr/>
          <w:p>
            <w:pPr>
              <w:pStyle w:val="Compact"/>
              <w:jc w:val="center"/>
            </w:pPr>
            <w:r>
              <w:t xml:space="preserve">1</w:t>
            </w:r>
          </w:p>
        </w:tc>
      </w:tr>
      <w:tr>
        <w:tc>
          <w:tcPr/>
          <w:p>
            <w:pPr>
              <w:pStyle w:val="Compact"/>
              <w:jc w:val="left"/>
            </w:pPr>
            <m:oMath>
              <m:r>
                <m:rPr>
                  <m:sty m:val="p"/>
                </m:rPr>
                <m:t>−</m:t>
              </m:r>
            </m:oMath>
            <w:r>
              <w:t xml:space="preserve"> </w:t>
            </w:r>
            <w:r>
              <w:t xml:space="preserve">markdown-context</w:t>
            </w:r>
          </w:p>
        </w:tc>
        <w:tc>
          <w:tcPr/>
          <w:p>
            <w:pPr>
              <w:pStyle w:val="Compact"/>
              <w:jc w:val="center"/>
            </w:pPr>
            <w:r>
              <w:t xml:space="preserve">0.983</w:t>
            </w:r>
          </w:p>
        </w:tc>
        <w:tc>
          <w:tcPr/>
          <w:p>
            <w:pPr>
              <w:pStyle w:val="Compact"/>
              <w:jc w:val="center"/>
            </w:pPr>
            <w:r>
              <w:t xml:space="preserve">1.000</w:t>
            </w:r>
          </w:p>
        </w:tc>
        <w:tc>
          <w:tcPr/>
          <w:p>
            <w:pPr>
              <w:pStyle w:val="Compact"/>
              <w:jc w:val="center"/>
            </w:pPr>
            <w:r>
              <w:t xml:space="preserve">0.991</w:t>
            </w:r>
          </w:p>
        </w:tc>
        <w:tc>
          <w:tcPr/>
          <w:p>
            <w:pPr>
              <w:pStyle w:val="Compact"/>
              <w:jc w:val="center"/>
            </w:pPr>
            <w:r>
              <w:t xml:space="preserve">1</w:t>
            </w:r>
          </w:p>
        </w:tc>
      </w:tr>
      <w:tr>
        <w:tc>
          <w:tcPr/>
          <w:p>
            <w:pPr>
              <w:pStyle w:val="Compact"/>
              <w:jc w:val="left"/>
            </w:pPr>
            <m:oMath>
              <m:r>
                <m:rPr>
                  <m:sty m:val="p"/>
                </m:rPr>
                <m:t>−</m:t>
              </m:r>
            </m:oMath>
            <w:r>
              <w:t xml:space="preserve"> </w:t>
            </w:r>
            <w:r>
              <w:t xml:space="preserve">semantic-context</w:t>
            </w:r>
          </w:p>
        </w:tc>
        <w:tc>
          <w:tcPr/>
          <w:p>
            <w:pPr>
              <w:pStyle w:val="Compact"/>
              <w:jc w:val="center"/>
            </w:pPr>
            <w:r>
              <w:t xml:space="preserve">0.931</w:t>
            </w:r>
          </w:p>
        </w:tc>
        <w:tc>
          <w:tcPr/>
          <w:p>
            <w:pPr>
              <w:pStyle w:val="Compact"/>
              <w:jc w:val="center"/>
            </w:pPr>
            <w:r>
              <w:t xml:space="preserve">1.000</w:t>
            </w:r>
          </w:p>
        </w:tc>
        <w:tc>
          <w:tcPr/>
          <w:p>
            <w:pPr>
              <w:pStyle w:val="Compact"/>
              <w:jc w:val="center"/>
            </w:pPr>
            <w:r>
              <w:t xml:space="preserve">0.960</w:t>
            </w:r>
          </w:p>
        </w:tc>
        <w:tc>
          <w:tcPr/>
          <w:p>
            <w:pPr>
              <w:pStyle w:val="Compact"/>
              <w:jc w:val="center"/>
            </w:pPr>
            <w:r>
              <w:t xml:space="preserve">5</w:t>
            </w:r>
          </w:p>
        </w:tc>
      </w:tr>
      <w:tr>
        <w:tc>
          <w:tcPr/>
          <w:p>
            <w:pPr>
              <w:pStyle w:val="Compact"/>
              <w:jc w:val="left"/>
            </w:pPr>
            <w:r>
              <w:t xml:space="preserve">Naive (both off)</w:t>
            </w:r>
          </w:p>
        </w:tc>
        <w:tc>
          <w:tcPr/>
          <w:p>
            <w:pPr>
              <w:pStyle w:val="Compact"/>
              <w:jc w:val="center"/>
            </w:pPr>
            <w:r>
              <w:t xml:space="preserve">0.931</w:t>
            </w:r>
          </w:p>
        </w:tc>
        <w:tc>
          <w:tcPr/>
          <w:p>
            <w:pPr>
              <w:pStyle w:val="Compact"/>
              <w:jc w:val="center"/>
            </w:pPr>
            <w:r>
              <w:t xml:space="preserve">1.000</w:t>
            </w:r>
          </w:p>
        </w:tc>
        <w:tc>
          <w:tcPr/>
          <w:p>
            <w:pPr>
              <w:pStyle w:val="Compact"/>
              <w:jc w:val="center"/>
            </w:pPr>
            <w:r>
              <w:t xml:space="preserve">0.960</w:t>
            </w:r>
          </w:p>
        </w:tc>
        <w:tc>
          <w:tcPr/>
          <w:p>
            <w:pPr>
              <w:pStyle w:val="Compact"/>
              <w:jc w:val="center"/>
            </w:pPr>
            <w:r>
              <w:t xml:space="preserve">5</w:t>
            </w:r>
          </w:p>
        </w:tc>
      </w:tr>
    </w:tbl>
    <w:bookmarkEnd w:id="62"/>
    <w:p>
      <w:pPr>
        <w:pStyle w:val="BodyText"/>
      </w:pPr>
      <w:r>
        <w:t xml:space="preserve">Two findings, one expected and one not. The semantic-context analyzer is</w:t>
      </w:r>
      <w:r>
        <w:t xml:space="preserve"> </w:t>
      </w:r>
      <w:r>
        <w:t xml:space="preserve">load-bearing: removing the negation, mention, declaration, and</w:t>
      </w:r>
      <w:r>
        <w:t xml:space="preserve"> </w:t>
      </w:r>
      <w:r>
        <w:t xml:space="preserve">quoted-phrase predicates raises false positives from one to five and</w:t>
      </w:r>
      <w:r>
        <w:t xml:space="preserve"> </w:t>
      </w:r>
      <w:r>
        <w:t xml:space="preserve">drops macro precision from 0.983 to 0.931. The mechanism is the S-013</w:t>
      </w:r>
      <w:r>
        <w:t xml:space="preserve"> </w:t>
      </w:r>
      <w:r>
        <w:t xml:space="preserve">case (Section </w:t>
      </w:r>
      <w:hyperlink w:anchor="sec:case-studies">
        <w:r>
          <w:rPr>
            <w:rStyle w:val="Hyperlink"/>
          </w:rPr>
          <w:t xml:space="preserve">7</w:t>
        </w:r>
      </w:hyperlink>
      <w:r>
        <w:t xml:space="preserve">): without negation detection, the</w:t>
      </w:r>
      <w:r>
        <w:t xml:space="preserve"> </w:t>
      </w:r>
      <w:r>
        <w:t xml:space="preserve">benign</w:t>
      </w:r>
      <w:r>
        <w:t xml:space="preserve"> </w:t>
      </w:r>
      <w:r>
        <w:t xml:space="preserve">“what NOT to do”</w:t>
      </w:r>
      <w:r>
        <w:t xml:space="preserve"> </w:t>
      </w:r>
      <w:r>
        <w:t xml:space="preserve">primitive that names</w:t>
      </w:r>
      <w:r>
        <w:t xml:space="preserve"> </w:t>
      </w:r>
      <w:r>
        <w:rPr>
          <w:rStyle w:val="VerbatimChar"/>
        </w:rPr>
        <w:t xml:space="preserve">curl|bash</w:t>
      </w:r>
      <w:r>
        <w:t xml:space="preserve"> </w:t>
      </w:r>
      <w:r>
        <w:t xml:space="preserve">is</w:t>
      </w:r>
      <w:r>
        <w:t xml:space="preserve"> </w:t>
      </w:r>
      <w:r>
        <w:t xml:space="preserve">flagged. Against the naive pattern pool, then, the full pipeline cuts</w:t>
      </w:r>
      <w:r>
        <w:t xml:space="preserve"> </w:t>
      </w:r>
      <w:r>
        <w:t xml:space="preserve">false positives fivefold on this corpus. The unexpected finding is that</w:t>
      </w:r>
      <w:r>
        <w:t xml:space="preserve"> </w:t>
      </w:r>
      <w:r>
        <w:t xml:space="preserve">removing the markdown-context analyzer changes nothing measurable on the</w:t>
      </w:r>
      <w:r>
        <w:t xml:space="preserve"> </w:t>
      </w:r>
      <w:r>
        <w:t xml:space="preserve">present in-sample slice. Historically it closed three precision-defense</w:t>
      </w:r>
      <w:r>
        <w:t xml:space="preserve"> </w:t>
      </w:r>
      <w:r>
        <w:t xml:space="preserve">ledger entries, but the current in-sample benign set does not exercise</w:t>
      </w:r>
      <w:r>
        <w:t xml:space="preserve"> </w:t>
      </w:r>
      <w:r>
        <w:t xml:space="preserve">the fenced-code and frontmatter paths it guards, so its measured</w:t>
      </w:r>
      <w:r>
        <w:t xml:space="preserve"> </w:t>
      </w:r>
      <w:r>
        <w:t xml:space="preserve">contribution here is zero. We report that rather than assume the</w:t>
      </w:r>
      <w:r>
        <w:t xml:space="preserve"> </w:t>
      </w:r>
      <w:r>
        <w:t xml:space="preserve">component helps; it also marks a concrete corpus gap, namely benign</w:t>
      </w:r>
      <w:r>
        <w:t xml:space="preserve"> </w:t>
      </w:r>
      <w:r>
        <w:t xml:space="preserve">samples that stress code-block handling. These are internal ablations</w:t>
      </w:r>
      <w:r>
        <w:t xml:space="preserve"> </w:t>
      </w:r>
      <w:r>
        <w:t xml:space="preserve">against an internal naive baseline; external baselines (Semgrep- or</w:t>
      </w:r>
      <w:r>
        <w:t xml:space="preserve"> </w:t>
      </w:r>
      <w:r>
        <w:t xml:space="preserve">YARA-style rules, an LLM-as-judge classifier, and a human-review study)</w:t>
      </w:r>
      <w:r>
        <w:t xml:space="preserve"> </w:t>
      </w:r>
      <w:r>
        <w:t xml:space="preserve">remain the larger comparative work, discussed below.</w:t>
      </w:r>
    </w:p>
    <w:bookmarkEnd w:id="63"/>
    <w:bookmarkStart w:id="73" w:name="subsec:eval-limitations"/>
    <w:p>
      <w:pPr>
        <w:pStyle w:val="Heading2"/>
      </w:pPr>
      <w:r>
        <w:t xml:space="preserve">Limitations (RQ4)</w:t>
      </w:r>
    </w:p>
    <w:p>
      <w:pPr>
        <w:pStyle w:val="FirstParagraph"/>
      </w:pPr>
      <w:r>
        <w:t xml:space="preserve">We enumerate the limitations rather than imply there are none.</w:t>
      </w:r>
    </w:p>
    <w:bookmarkStart w:id="64" w:name="corpus-size"/>
    <w:p>
      <w:pPr>
        <w:pStyle w:val="Heading4"/>
      </w:pPr>
      <w:r>
        <w:t xml:space="preserve">Corpus size</w:t>
      </w:r>
    </w:p>
    <w:p>
      <w:pPr>
        <w:pStyle w:val="FirstParagraph"/>
      </w:pPr>
      <w:r>
        <w:t xml:space="preserve">v0.2 ships 124 samples with per-detector support</w:t>
      </w:r>
      <w:r>
        <w:t xml:space="preserve"> </w:t>
      </w:r>
      <w:r>
        <w:t xml:space="preserve">of 30 to 45. F</w:t>
      </w:r>
      <w:r>
        <w:rPr>
          <w:vertAlign w:val="subscript"/>
        </w:rPr>
        <w:t xml:space="preserve">1</w:t>
      </w:r>
      <w:r>
        <w:t xml:space="preserve"> </w:t>
      </w:r>
      <w:r>
        <w:t xml:space="preserve">on that support is the best</w:t>
      </w:r>
      <w:r>
        <w:t xml:space="preserve"> </w:t>
      </w:r>
      <w:r>
        <w:t xml:space="preserve">demonstration available at this size; it is not the same claim as</w:t>
      </w:r>
      <w:r>
        <w:t xml:space="preserve"> </w:t>
      </w:r>
      <w:r>
        <w:t xml:space="preserve">F</w:t>
      </w:r>
      <w:r>
        <w:rPr>
          <w:vertAlign w:val="subscript"/>
        </w:rPr>
        <w:t xml:space="preserve">1</w:t>
      </w:r>
      <w:r>
        <w:t xml:space="preserve"> </w:t>
      </w:r>
      <w:r>
        <w:t xml:space="preserve">on tens of thousands of samples. Tenfold expansion is</w:t>
      </w:r>
      <w:r>
        <w:t xml:space="preserve"> </w:t>
      </w:r>
      <w:r>
        <w:t xml:space="preserve">the next-round work.</w:t>
      </w:r>
    </w:p>
    <w:bookmarkEnd w:id="64"/>
    <w:bookmarkStart w:id="65" w:name="cross-engine-recall-gap"/>
    <w:p>
      <w:pPr>
        <w:pStyle w:val="Heading4"/>
      </w:pPr>
      <w:r>
        <w:t xml:space="preserve">Cross-engine recall gap</w:t>
      </w:r>
    </w:p>
    <w:p>
      <w:pPr>
        <w:pStyle w:val="FirstParagraph"/>
      </w:pPr>
      <w:r>
        <w:t xml:space="preserve">The TypeScript engine misses seven</w:t>
      </w:r>
      <w:r>
        <w:t xml:space="preserve"> </w:t>
      </w:r>
      <w:r>
        <w:t xml:space="preserve">held-out attacks the Python engine catches. Until that closes, the</w:t>
      </w:r>
      <w:r>
        <w:t xml:space="preserve"> </w:t>
      </w:r>
      <w:r>
        <w:t xml:space="preserve">agent-side gate (which runs the TypeScript engine) carries weaker</w:t>
      </w:r>
      <w:r>
        <w:t xml:space="preserve"> </w:t>
      </w:r>
      <w:r>
        <w:t xml:space="preserve">held-out recall than the server-side pipeline. This is the most</w:t>
      </w:r>
      <w:r>
        <w:t xml:space="preserve"> </w:t>
      </w:r>
      <w:r>
        <w:t xml:space="preserve">material limitation, and we surface it in the headline rather than a</w:t>
      </w:r>
      <w:r>
        <w:t xml:space="preserve"> </w:t>
      </w:r>
      <w:r>
        <w:t xml:space="preserve">footnote.</w:t>
      </w:r>
    </w:p>
    <w:bookmarkEnd w:id="65"/>
    <w:bookmarkStart w:id="66" w:name="uneven-held-out-support"/>
    <w:p>
      <w:pPr>
        <w:pStyle w:val="Heading4"/>
      </w:pPr>
      <w:r>
        <w:t xml:space="preserve">Uneven held-out support</w:t>
      </w:r>
    </w:p>
    <w:p>
      <w:pPr>
        <w:pStyle w:val="FirstParagraph"/>
      </w:pPr>
      <w:r>
        <w:t xml:space="preserve">Held-out support ranges from one</w:t>
      </w:r>
      <w:r>
        <w:t xml:space="preserve"> </w:t>
      </w:r>
      <w:r>
        <w:t xml:space="preserve">sample (CCI-002, CCI-008, CCI-009, CCI-010) to seven (CCI-005). A</w:t>
      </w:r>
      <w:r>
        <w:t xml:space="preserve"> </w:t>
      </w:r>
      <w:r>
        <w:t xml:space="preserve">single held-out sample is a weak generalization probe. Matching the</w:t>
      </w:r>
      <w:r>
        <w:t xml:space="preserve"> </w:t>
      </w:r>
      <w:r>
        <w:t xml:space="preserve">in-sample density is the v0.3 corpus target.</w:t>
      </w:r>
    </w:p>
    <w:bookmarkEnd w:id="66"/>
    <w:bookmarkStart w:id="67" w:name="static-detection-only"/>
    <w:p>
      <w:pPr>
        <w:pStyle w:val="Heading4"/>
      </w:pPr>
      <w:r>
        <w:t xml:space="preserve">Static detection only</w:t>
      </w:r>
    </w:p>
    <w:p>
      <w:pPr>
        <w:pStyle w:val="FirstParagraph"/>
      </w:pPr>
      <w:r>
        <w:t xml:space="preserve">The corpus measures detectors on</w:t>
      </w:r>
      <w:r>
        <w:t xml:space="preserve"> </w:t>
      </w:r>
      <w:r>
        <w:t xml:space="preserve">primitive content. It does not measure runtime-injection defense or</w:t>
      </w:r>
      <w:r>
        <w:t xml:space="preserve"> </w:t>
      </w:r>
      <w:r>
        <w:t xml:space="preserve">training-time poisoning </w:t>
      </w:r>
      <w:r>
        <w:t xml:space="preserve">[13]</w:t>
      </w:r>
      <w:r>
        <w:t xml:space="preserve">; those map</w:t>
      </w:r>
      <w:r>
        <w:t xml:space="preserve"> </w:t>
      </w:r>
      <w:r>
        <w:t xml:space="preserve">to other layers of the Trust Runtime.</w:t>
      </w:r>
    </w:p>
    <w:bookmarkEnd w:id="67"/>
    <w:bookmarkStart w:id="68" w:name="english-language-bias"/>
    <w:p>
      <w:pPr>
        <w:pStyle w:val="Heading4"/>
      </w:pPr>
      <w:r>
        <w:t xml:space="preserve">English-language bias</w:t>
      </w:r>
    </w:p>
    <w:p>
      <w:pPr>
        <w:pStyle w:val="FirstParagraph"/>
      </w:pPr>
      <w:r>
        <w:t xml:space="preserve">Adversarial samples are written</w:t>
      </w:r>
      <w:r>
        <w:t xml:space="preserve"> </w:t>
      </w:r>
      <w:r>
        <w:t xml:space="preserve">primarily in English. Attacker phrasing in Russian, Chinese, Arabic, and</w:t>
      </w:r>
      <w:r>
        <w:t xml:space="preserve"> </w:t>
      </w:r>
      <w:r>
        <w:t xml:space="preserve">Spanish is uncovered, and multilingual expansion is deferred to v0.3.</w:t>
      </w:r>
    </w:p>
    <w:bookmarkEnd w:id="68"/>
    <w:bookmarkStart w:id="69" w:name="vendor-list-scope"/>
    <w:p>
      <w:pPr>
        <w:pStyle w:val="Heading4"/>
      </w:pPr>
      <w:r>
        <w:t xml:space="preserve">Vendor-list scope</w:t>
      </w:r>
    </w:p>
    <w:p>
      <w:pPr>
        <w:pStyle w:val="FirstParagraph"/>
      </w:pPr>
      <w:r>
        <w:t xml:space="preserve">The confusables detector defends the 35</w:t>
      </w:r>
      <w:r>
        <w:t xml:space="preserve"> </w:t>
      </w:r>
      <w:r>
        <w:t xml:space="preserve">single-word vendors in its list. The full UTS #39 confusables</w:t>
      </w:r>
      <w:r>
        <w:t xml:space="preserve"> </w:t>
      </w:r>
      <w:r>
        <w:t xml:space="preserve">distribution and UAX #31 identifier rules are the natural extension once</w:t>
      </w:r>
      <w:r>
        <w:t xml:space="preserve"> </w:t>
      </w:r>
      <w:r>
        <w:t xml:space="preserve">the list outgrows manual curation.</w:t>
      </w:r>
    </w:p>
    <w:bookmarkEnd w:id="69"/>
    <w:bookmarkStart w:id="70" w:name="synthesized-provenance"/>
    <w:p>
      <w:pPr>
        <w:pStyle w:val="Heading4"/>
      </w:pPr>
      <w:r>
        <w:t xml:space="preserve">Synthesized provenance</w:t>
      </w:r>
    </w:p>
    <w:p>
      <w:pPr>
        <w:pStyle w:val="FirstParagraph"/>
      </w:pPr>
      <w:r>
        <w:t xml:space="preserve">Most adversarial samples (66 of 77)</w:t>
      </w:r>
      <w:r>
        <w:t xml:space="preserve"> </w:t>
      </w:r>
      <w:r>
        <w:t xml:space="preserve">are synthesized. Field-incident provenance grows as the</w:t>
      </w:r>
      <w:r>
        <w:t xml:space="preserve"> </w:t>
      </w:r>
      <w:r>
        <w:rPr>
          <w:rStyle w:val="VerbatimChar"/>
        </w:rPr>
        <w:t xml:space="preserve">/check</w:t>
      </w:r>
      <w:r>
        <w:t xml:space="preserve"> </w:t>
      </w:r>
      <w:r>
        <w:t xml:space="preserve">route accumulates real reports.</w:t>
      </w:r>
    </w:p>
    <w:bookmarkEnd w:id="70"/>
    <w:bookmarkStart w:id="71" w:name="single-team-verification"/>
    <w:p>
      <w:pPr>
        <w:pStyle w:val="Heading4"/>
      </w:pPr>
      <w:r>
        <w:t xml:space="preserve">Single-team verification</w:t>
      </w:r>
    </w:p>
    <w:p>
      <w:pPr>
        <w:pStyle w:val="FirstParagraph"/>
      </w:pPr>
      <w:r>
        <w:t xml:space="preserve">The same team wrote the detectors</w:t>
      </w:r>
      <w:r>
        <w:t xml:space="preserve"> </w:t>
      </w:r>
      <w:r>
        <w:t xml:space="preserve">and the labels. The corpus and gate are open and reproducible by design;</w:t>
      </w:r>
      <w:r>
        <w:t xml:space="preserve"> </w:t>
      </w:r>
      <w:r>
        <w:t xml:space="preserve">independent replication is invited through the disclosure surface in</w:t>
      </w:r>
      <w:r>
        <w:t xml:space="preserve"> </w:t>
      </w:r>
      <w:r>
        <w:rPr>
          <w:rStyle w:val="VerbatimChar"/>
        </w:rPr>
        <w:t xml:space="preserve">SECURITY.md</w:t>
      </w:r>
      <w:r>
        <w:t xml:space="preserve"> </w:t>
      </w:r>
      <w:r>
        <w:t xml:space="preserve">[26]</w:t>
      </w:r>
      <w:r>
        <w:t xml:space="preserve">, and ledger</w:t>
      </w:r>
      <w:r>
        <w:t xml:space="preserve"> </w:t>
      </w:r>
      <w:r>
        <w:t xml:space="preserve">closures credit external reporters. We do not yet report an inter-rater</w:t>
      </w:r>
      <w:r>
        <w:t xml:space="preserve"> </w:t>
      </w:r>
      <w:r>
        <w:t xml:space="preserve">agreement statistic, because labeling has so far been single-team; a</w:t>
      </w:r>
      <w:r>
        <w:t xml:space="preserve"> </w:t>
      </w:r>
      <w:r>
        <w:t xml:space="preserve">second independent labeling pass with a Cohen’s</w:t>
      </w:r>
      <w:r>
        <w:t xml:space="preserve"> </w:t>
      </w:r>
      <m:oMath>
        <m:r>
          <m:t>κ</m:t>
        </m:r>
      </m:oMath>
      <w:r>
        <w:t xml:space="preserve"> </w:t>
      </w:r>
      <w:r>
        <w:t xml:space="preserve">is the planned</w:t>
      </w:r>
      <w:r>
        <w:t xml:space="preserve"> </w:t>
      </w:r>
      <w:r>
        <w:t xml:space="preserve">mitigation, not merely a disclosed gap.</w:t>
      </w:r>
    </w:p>
    <w:bookmarkEnd w:id="71"/>
    <w:bookmarkStart w:id="72" w:name="only-an-internal-baseline-so-far"/>
    <w:p>
      <w:pPr>
        <w:pStyle w:val="Heading4"/>
      </w:pPr>
      <w:r>
        <w:t xml:space="preserve">Only an internal baseline so far</w:t>
      </w:r>
    </w:p>
    <w:p>
      <w:pPr>
        <w:pStyle w:val="FirstParagraph"/>
      </w:pPr>
      <w:r>
        <w:t xml:space="preserve">Section </w:t>
      </w:r>
      <w:hyperlink w:anchor="subsec:eval-ablation">
        <w:r>
          <w:rPr>
            <w:rStyle w:val="Hyperlink"/>
          </w:rPr>
          <w:t xml:space="preserve">6.9</w:t>
        </w:r>
      </w:hyperlink>
      <w:r>
        <w:t xml:space="preserve"> </w:t>
      </w:r>
      <w:r>
        <w:t xml:space="preserve">reports an analyzer ablation and a naive pattern-pool baseline, which</w:t>
      </w:r>
      <w:r>
        <w:t xml:space="preserve"> </w:t>
      </w:r>
      <w:r>
        <w:t xml:space="preserve">isolate the semantic-context analyzer’s contribution. It does not yet</w:t>
      </w:r>
      <w:r>
        <w:t xml:space="preserve"> </w:t>
      </w:r>
      <w:r>
        <w:t xml:space="preserve">report</w:t>
      </w:r>
      <w:r>
        <w:t xml:space="preserve"> </w:t>
      </w:r>
      <w:r>
        <w:rPr>
          <w:i/>
          <w:iCs/>
        </w:rPr>
        <w:t xml:space="preserve">external</w:t>
      </w:r>
      <w:r>
        <w:t xml:space="preserve"> </w:t>
      </w:r>
      <w:r>
        <w:t xml:space="preserve">baselines: a generic-rule comparison (Semgrep- or</w:t>
      </w:r>
      <w:r>
        <w:t xml:space="preserve"> </w:t>
      </w:r>
      <w:r>
        <w:t xml:space="preserve">YARA-style), an LLM-as-judge classifier (the obvious</w:t>
      </w:r>
      <w:r>
        <w:t xml:space="preserve"> </w:t>
      </w:r>
      <w:r>
        <w:t xml:space="preserve">“why not just use</w:t>
      </w:r>
      <w:r>
        <w:t xml:space="preserve"> </w:t>
      </w:r>
      <w:r>
        <w:t xml:space="preserve">an LLM?”</w:t>
      </w:r>
      <w:r>
        <w:t xml:space="preserve"> </w:t>
      </w:r>
      <w:r>
        <w:t xml:space="preserve">question), or a human-review study (most relevant for the</w:t>
      </w:r>
      <w:r>
        <w:t xml:space="preserve"> </w:t>
      </w:r>
      <w:r>
        <w:t xml:space="preserve">invisible-Unicode and encoded-payload cases). Those comparisons, against</w:t>
      </w:r>
      <w:r>
        <w:t xml:space="preserve"> </w:t>
      </w:r>
      <w:r>
        <w:t xml:space="preserve">a larger corpus, are the central evaluation work of the next round.</w:t>
      </w:r>
      <w:r>
        <w:t xml:space="preserve"> </w:t>
      </w:r>
      <w:r>
        <w:t xml:space="preserve">Accordingly, the present evaluation should be read as</w:t>
      </w:r>
      <w:r>
        <w:t xml:space="preserve"> </w:t>
      </w:r>
      <w:r>
        <w:t xml:space="preserve">detector-versus-corpus and detector-versus-naive, not as a comparison</w:t>
      </w:r>
      <w:r>
        <w:t xml:space="preserve"> </w:t>
      </w:r>
      <w:r>
        <w:t xml:space="preserve">with state-of-practice tools.</w:t>
      </w:r>
    </w:p>
    <w:bookmarkEnd w:id="72"/>
    <w:bookmarkEnd w:id="73"/>
    <w:bookmarkStart w:id="77" w:name="threats-to-validity"/>
    <w:p>
      <w:pPr>
        <w:pStyle w:val="Heading2"/>
      </w:pPr>
      <w:r>
        <w:t xml:space="preserve">Threats to validity</w:t>
      </w:r>
    </w:p>
    <w:bookmarkStart w:id="74" w:name="internal"/>
    <w:p>
      <w:pPr>
        <w:pStyle w:val="Heading4"/>
      </w:pPr>
      <w:r>
        <w:t xml:space="preserve">Internal</w:t>
      </w:r>
    </w:p>
    <w:p>
      <w:pPr>
        <w:pStyle w:val="FirstParagraph"/>
      </w:pPr>
      <w:r>
        <w:t xml:space="preserve">One team authored detectors and labels. The</w:t>
      </w:r>
      <w:r>
        <w:t xml:space="preserve"> </w:t>
      </w:r>
      <w:r>
        <w:t xml:space="preserve">mitigation is the append-only false-negative ledger: every</w:t>
      </w:r>
      <w:r>
        <w:t xml:space="preserve"> </w:t>
      </w:r>
      <w:r>
        <w:t xml:space="preserve">prediction-to-closure chain is auditable, and a reviewer can re-run any</w:t>
      </w:r>
      <w:r>
        <w:t xml:space="preserve"> </w:t>
      </w:r>
      <w:r>
        <w:t xml:space="preserve">closure’s measurement to check its F</w:t>
      </w:r>
      <w:r>
        <w:rPr>
          <w:vertAlign w:val="subscript"/>
        </w:rPr>
        <w:t xml:space="preserve">1</w:t>
      </w:r>
      <w:r>
        <w:t xml:space="preserve"> </w:t>
      </w:r>
      <w:r>
        <w:t xml:space="preserve">delta.</w:t>
      </w:r>
    </w:p>
    <w:bookmarkEnd w:id="74"/>
    <w:bookmarkStart w:id="75" w:name="external"/>
    <w:p>
      <w:pPr>
        <w:pStyle w:val="Heading4"/>
      </w:pPr>
      <w:r>
        <w:t xml:space="preserve">External</w:t>
      </w:r>
    </w:p>
    <w:p>
      <w:pPr>
        <w:pStyle w:val="FirstParagraph"/>
      </w:pPr>
      <w:r>
        <w:t xml:space="preserve">The corpus is mostly synthesized; real content will</w:t>
      </w:r>
      <w:r>
        <w:t xml:space="preserve"> </w:t>
      </w:r>
      <w:r>
        <w:t xml:space="preserve">surface shapes outside v0.2. The mitigation is structural: a</w:t>
      </w:r>
      <w:r>
        <w:t xml:space="preserve"> </w:t>
      </w:r>
      <w:r>
        <w:t xml:space="preserve">field-reported miss becomes a corpus sample, then a ledger entry, then a</w:t>
      </w:r>
      <w:r>
        <w:t xml:space="preserve"> </w:t>
      </w:r>
      <w:r>
        <w:t xml:space="preserve">lockstep ratchet, without re-architecting the pipeline.</w:t>
      </w:r>
    </w:p>
    <w:bookmarkEnd w:id="75"/>
    <w:bookmarkStart w:id="76" w:name="construct"/>
    <w:p>
      <w:pPr>
        <w:pStyle w:val="Heading4"/>
      </w:pPr>
      <w:r>
        <w:t xml:space="preserve">Construct</w:t>
      </w:r>
    </w:p>
    <w:p>
      <w:pPr>
        <w:pStyle w:val="FirstParagraph"/>
      </w:pPr>
      <w:r>
        <w:t xml:space="preserve">F</w:t>
      </w:r>
      <w:r>
        <w:rPr>
          <w:vertAlign w:val="subscript"/>
        </w:rPr>
        <w:t xml:space="preserve">1</w:t>
      </w:r>
      <w:r>
        <w:t xml:space="preserve"> </w:t>
      </w:r>
      <w:r>
        <w:t xml:space="preserve">measures agreement between a</w:t>
      </w:r>
      <w:r>
        <w:t xml:space="preserve"> </w:t>
      </w:r>
      <w:r>
        <w:t xml:space="preserve">verdict and a manifest that encodes maintainers’ beliefs about what</w:t>
      </w:r>
      <w:r>
        <w:t xml:space="preserve"> </w:t>
      </w:r>
      <w:r>
        <w:t xml:space="preserve">should fire. The borderline label and the four-path triage make that</w:t>
      </w:r>
      <w:r>
        <w:t xml:space="preserve"> </w:t>
      </w:r>
      <w:r>
        <w:t xml:space="preserve">disagreement recoverable rather than silent: relabel a sample (Path B)</w:t>
      </w:r>
      <w:r>
        <w:t xml:space="preserve"> </w:t>
      </w:r>
      <w:r>
        <w:t xml:space="preserve">or ratchet a detector (Path C), but never quietly accept.</w:t>
      </w:r>
    </w:p>
    <w:bookmarkEnd w:id="76"/>
    <w:bookmarkEnd w:id="77"/>
    <w:bookmarkEnd w:id="78"/>
    <w:bookmarkStart w:id="85" w:name="sec:case-studies"/>
    <w:p>
      <w:pPr>
        <w:pStyle w:val="Heading1"/>
      </w:pPr>
      <w:r>
        <w:t xml:space="preserve">Case Studies</w:t>
      </w:r>
    </w:p>
    <w:p>
      <w:pPr>
        <w:pStyle w:val="FirstParagraph"/>
      </w:pPr>
      <w:r>
        <w:t xml:space="preserve">To make the detection concrete, we walk five corpus samples: four</w:t>
      </w:r>
      <w:r>
        <w:t xml:space="preserve"> </w:t>
      </w:r>
      <w:r>
        <w:t xml:space="preserve">attacks the pipeline flags and one benign primitive it correctly leaves</w:t>
      </w:r>
      <w:r>
        <w:t xml:space="preserve"> </w:t>
      </w:r>
      <w:r>
        <w:t xml:space="preserve">alone. Each names what a human reviewer sees, what the agent’s parser</w:t>
      </w:r>
      <w:r>
        <w:t xml:space="preserve"> </w:t>
      </w:r>
      <w:r>
        <w:t xml:space="preserve">sees, and what the detector does.</w:t>
      </w:r>
    </w:p>
    <w:bookmarkStart w:id="79" w:name="invisible-unicode-s-006-cci-002-fail"/>
    <w:p>
      <w:pPr>
        <w:pStyle w:val="Heading4"/>
      </w:pPr>
      <w:r>
        <w:t xml:space="preserve">Invisible Unicode (S-006, CCI-002, FAIL)</w:t>
      </w:r>
    </w:p>
    <w:p>
      <w:pPr>
        <w:pStyle w:val="FirstParagraph"/>
      </w:pPr>
      <w:r>
        <w:t xml:space="preserve">A</w:t>
      </w:r>
      <w:r>
        <w:t xml:space="preserve"> </w:t>
      </w:r>
      <w:r>
        <w:t xml:space="preserve">“translation</w:t>
      </w:r>
      <w:r>
        <w:t xml:space="preserve"> </w:t>
      </w:r>
      <w:r>
        <w:t xml:space="preserve">helper”</w:t>
      </w:r>
      <w:r>
        <w:t xml:space="preserve"> </w:t>
      </w:r>
      <w:r>
        <w:t xml:space="preserve">primitive reads, to a human, as one clean sentence of</w:t>
      </w:r>
      <w:r>
        <w:t xml:space="preserve"> </w:t>
      </w:r>
      <w:r>
        <w:t xml:space="preserve">formatting guidance. Between the visible words sit zero-width spaces</w:t>
      </w:r>
      <w:r>
        <w:t xml:space="preserve"> </w:t>
      </w:r>
      <w:r>
        <w:t xml:space="preserve">(U+200B): a human reviewing rendered markdown sees nothing, but the</w:t>
      </w:r>
      <w:r>
        <w:t xml:space="preserve"> </w:t>
      </w:r>
      <w:r>
        <w:t xml:space="preserve">agent’s tokenizer ingests the full codepoint stream. The detector does</w:t>
      </w:r>
      <w:r>
        <w:t xml:space="preserve"> </w:t>
      </w:r>
      <w:r>
        <w:t xml:space="preserve">not need to interpret the hidden payload; it flags the presence of</w:t>
      </w:r>
      <w:r>
        <w:t xml:space="preserve"> </w:t>
      </w:r>
      <w:r>
        <w:t xml:space="preserve">format-class (Cf) codepoints in body text above a per-file threshold.</w:t>
      </w:r>
      <w:r>
        <w:t xml:space="preserve"> </w:t>
      </w:r>
      <w:r>
        <w:t xml:space="preserve">The asymmetry, human eye versus tokenizer, is exactly why this cannot be</w:t>
      </w:r>
      <w:r>
        <w:t xml:space="preserve"> </w:t>
      </w:r>
      <w:r>
        <w:t xml:space="preserve">left to review.</w:t>
      </w:r>
    </w:p>
    <w:bookmarkEnd w:id="79"/>
    <w:bookmarkStart w:id="81" w:name="X42360d2186f1f85dc5f9b7d4b99f96a530b8c17"/>
    <w:p>
      <w:pPr>
        <w:pStyle w:val="Heading4"/>
      </w:pPr>
      <w:r>
        <w:t xml:space="preserve">Remote fetch at load time (S-029, CCI-004, FAIL)</w:t>
      </w:r>
    </w:p>
    <w:p>
      <w:pPr>
        <w:pStyle w:val="FirstParagraph"/>
      </w:pPr>
      <w:r>
        <w:t xml:space="preserve">A</w:t>
      </w:r>
      <w:r>
        <w:t xml:space="preserve"> </w:t>
      </w:r>
      <w:r>
        <w:t xml:space="preserve">“context-extension”</w:t>
      </w:r>
      <w:r>
        <w:t xml:space="preserve"> </w:t>
      </w:r>
      <w:r>
        <w:t xml:space="preserve">primitive instructs the agent to fetch</w:t>
      </w:r>
      <w:r>
        <w:t xml:space="preserve"> </w:t>
      </w:r>
      <w:hyperlink r:id="rId80">
        <w:r>
          <w:rPr>
            <w:rStyle w:val="Hyperlink"/>
          </w:rPr>
          <w:t xml:space="preserve">https://attacker.example.com/extra-context.txt</w:t>
        </w:r>
      </w:hyperlink>
      <w:r>
        <w:t xml:space="preserve"> </w:t>
      </w:r>
      <w:r>
        <w:t xml:space="preserve">and append the</w:t>
      </w:r>
      <w:r>
        <w:t xml:space="preserve"> </w:t>
      </w:r>
      <w:r>
        <w:t xml:space="preserve">body to its prompt before responding. The signature binds the</w:t>
      </w:r>
      <w:r>
        <w:t xml:space="preserve"> </w:t>
      </w:r>
      <w:r>
        <w:t xml:space="preserve">primitive’s bytes, but not the bytes it pulls in afterward, so the</w:t>
      </w:r>
      <w:r>
        <w:t xml:space="preserve"> </w:t>
      </w:r>
      <w:r>
        <w:t xml:space="preserve">attacker controls the real payload post-signing. The detector fires on</w:t>
      </w:r>
      <w:r>
        <w:t xml:space="preserve"> </w:t>
      </w:r>
      <w:r>
        <w:t xml:space="preserve">the fetch-and-include construction (an external URL bound to an</w:t>
      </w:r>
      <w:r>
        <w:t xml:space="preserve"> </w:t>
      </w:r>
      <w:r>
        <w:t xml:space="preserve">imperative to treat the response as instruction), independent of what</w:t>
      </w:r>
      <w:r>
        <w:t xml:space="preserve"> </w:t>
      </w:r>
      <w:r>
        <w:t xml:space="preserve">the URL would serve.</w:t>
      </w:r>
    </w:p>
    <w:bookmarkEnd w:id="81"/>
    <w:bookmarkStart w:id="82" w:name="vendor-impersonation-s-059-cci-007-fail"/>
    <w:p>
      <w:pPr>
        <w:pStyle w:val="Heading4"/>
      </w:pPr>
      <w:r>
        <w:t xml:space="preserve">Vendor impersonation (S-059, CCI-007, FAIL)</w:t>
      </w:r>
    </w:p>
    <w:p>
      <w:pPr>
        <w:pStyle w:val="FirstParagraph"/>
      </w:pPr>
      <w:r>
        <w:t xml:space="preserve">A primitive</w:t>
      </w:r>
      <w:r>
        <w:t xml:space="preserve"> </w:t>
      </w:r>
      <w:r>
        <w:t xml:space="preserve">claims to be</w:t>
      </w:r>
      <w:r>
        <w:t xml:space="preserve"> </w:t>
      </w:r>
      <w:r>
        <w:t xml:space="preserve">“the official Anthropic primitive… recommended by</w:t>
      </w:r>
      <w:r>
        <w:t xml:space="preserve"> </w:t>
      </w:r>
      <w:r>
        <w:t xml:space="preserve">Anthropic’s research group.”</w:t>
      </w:r>
      <w:r>
        <w:t xml:space="preserve"> </w:t>
      </w:r>
      <w:r>
        <w:t xml:space="preserve">This is the prose-impersonation shape: no</w:t>
      </w:r>
      <w:r>
        <w:t xml:space="preserve"> </w:t>
      </w:r>
      <w:r>
        <w:t xml:space="preserve">malformed bytes, just manufactured first-party authority. The detector</w:t>
      </w:r>
      <w:r>
        <w:t xml:space="preserve"> </w:t>
      </w:r>
      <w:r>
        <w:t xml:space="preserve">flags the official-vendor claim; its harder sibling, a name carrying a</w:t>
      </w:r>
      <w:r>
        <w:t xml:space="preserve"> </w:t>
      </w:r>
      <w:r>
        <w:t xml:space="preserve">Cyrillic or Greek confusable, is caught by the UTS #39 skeleton</w:t>
      </w:r>
      <w:r>
        <w:t xml:space="preserve"> </w:t>
      </w:r>
      <w:r>
        <w:t xml:space="preserve">comparison against the vendor list.</w:t>
      </w:r>
    </w:p>
    <w:bookmarkEnd w:id="82"/>
    <w:bookmarkStart w:id="83" w:name="encoded-payload-s-019-cci-003-fail"/>
    <w:p>
      <w:pPr>
        <w:pStyle w:val="Heading4"/>
      </w:pPr>
      <w:r>
        <w:t xml:space="preserve">Encoded payload (S-019, CCI-003, FAIL)</w:t>
      </w:r>
    </w:p>
    <w:p>
      <w:pPr>
        <w:pStyle w:val="FirstParagraph"/>
      </w:pPr>
      <w:r>
        <w:t xml:space="preserve">A</w:t>
      </w:r>
      <w:r>
        <w:t xml:space="preserve"> </w:t>
      </w:r>
      <w:r>
        <w:t xml:space="preserve">“setup”</w:t>
      </w:r>
      <w:r>
        <w:t xml:space="preserve"> </w:t>
      </w:r>
      <w:r>
        <w:t xml:space="preserve">primitive</w:t>
      </w:r>
      <w:r>
        <w:t xml:space="preserve"> </w:t>
      </w:r>
      <w:r>
        <w:t xml:space="preserve">presents a base64 blob and tells the agent to</w:t>
      </w:r>
      <w:r>
        <w:t xml:space="preserve"> </w:t>
      </w:r>
      <w:r>
        <w:t xml:space="preserve">“decode the following</w:t>
      </w:r>
      <w:r>
        <w:t xml:space="preserve"> </w:t>
      </w:r>
      <w:r>
        <w:t xml:space="preserve">base64 string and run the resulting command in a shell.”</w:t>
      </w:r>
      <w:r>
        <w:t xml:space="preserve"> </w:t>
      </w:r>
      <w:r>
        <w:t xml:space="preserve">A human</w:t>
      </w:r>
      <w:r>
        <w:t xml:space="preserve"> </w:t>
      </w:r>
      <w:r>
        <w:t xml:space="preserve">scanning rendered markdown sees an opaque token, not a command. The</w:t>
      </w:r>
      <w:r>
        <w:t xml:space="preserve"> </w:t>
      </w:r>
      <w:r>
        <w:t xml:space="preserve">detector flags the verb-anchored decode-and-execute construction; it</w:t>
      </w:r>
      <w:r>
        <w:t xml:space="preserve"> </w:t>
      </w:r>
      <w:r>
        <w:t xml:space="preserve">does not decode or run the blob, it recognizes the imperative that pairs</w:t>
      </w:r>
      <w:r>
        <w:t xml:space="preserve"> </w:t>
      </w:r>
      <w:r>
        <w:t xml:space="preserve">an encoded carrier with execution.</w:t>
      </w:r>
    </w:p>
    <w:bookmarkEnd w:id="83"/>
    <w:bookmarkStart w:id="84" w:name="X561db0eda1d06289d4c19b7135422c794275496"/>
    <w:p>
      <w:pPr>
        <w:pStyle w:val="Heading4"/>
      </w:pPr>
      <w:r>
        <w:t xml:space="preserve">A benign primitive that names attacks (S-013, CCI-005, PASS)</w:t>
      </w:r>
    </w:p>
    <w:p>
      <w:pPr>
        <w:pStyle w:val="FirstParagraph"/>
      </w:pPr>
      <w:r>
        <w:t xml:space="preserve">An onboarding skill titled</w:t>
      </w:r>
      <w:r>
        <w:t xml:space="preserve"> </w:t>
      </w:r>
      <w:r>
        <w:t xml:space="preserve">“what NOT to do”</w:t>
      </w:r>
      <w:r>
        <w:t xml:space="preserve"> </w:t>
      </w:r>
      <w:r>
        <w:t xml:space="preserve">teaches contributors which</w:t>
      </w:r>
      <w:r>
        <w:t xml:space="preserve"> </w:t>
      </w:r>
      <w:r>
        <w:t xml:space="preserve">install patterns the project forbids. It contains the literal strings</w:t>
      </w:r>
      <w:r>
        <w:t xml:space="preserve"> </w:t>
      </w:r>
      <w:r>
        <w:rPr>
          <w:rStyle w:val="VerbatimChar"/>
        </w:rPr>
        <w:t xml:space="preserve">curl ... | bash</w:t>
      </w:r>
      <w:r>
        <w:t xml:space="preserve">,</w:t>
      </w:r>
      <w:r>
        <w:t xml:space="preserve"> </w:t>
      </w:r>
      <w:r>
        <w:rPr>
          <w:rStyle w:val="VerbatimChar"/>
        </w:rPr>
        <w:t xml:space="preserve">npx @some-vendor/something</w:t>
      </w:r>
      <w:r>
        <w:t xml:space="preserve">, and</w:t>
      </w:r>
      <w:r>
        <w:t xml:space="preserve"> </w:t>
      </w:r>
      <w:r>
        <w:rPr>
          <w:rStyle w:val="VerbatimChar"/>
        </w:rPr>
        <w:t xml:space="preserve">pip install</w:t>
      </w:r>
      <w:r>
        <w:t xml:space="preserve"> </w:t>
      </w:r>
      <w:r>
        <w:t xml:space="preserve">from a URL, each prefixed with</w:t>
      </w:r>
      <w:r>
        <w:t xml:space="preserve"> </w:t>
      </w:r>
      <w:r>
        <w:t xml:space="preserve">“Never.”</w:t>
      </w:r>
      <w:r>
        <w:t xml:space="preserve"> </w:t>
      </w:r>
      <w:r>
        <w:t xml:space="preserve">A naive</w:t>
      </w:r>
      <w:r>
        <w:t xml:space="preserve"> </w:t>
      </w:r>
      <w:r>
        <w:t xml:space="preserve">keyword detector flags all three and produces three false positives.</w:t>
      </w:r>
      <w:r>
        <w:t xml:space="preserve"> </w:t>
      </w:r>
      <w:r>
        <w:t xml:space="preserve">Ours does not: the semantic-context analyzer</w:t>
      </w:r>
      <w:r>
        <w:t xml:space="preserve"> </w:t>
      </w:r>
      <w:r>
        <w:t xml:space="preserve">(Section </w:t>
      </w:r>
      <w:hyperlink w:anchor="sec:implementation">
        <w:r>
          <w:rPr>
            <w:rStyle w:val="Hyperlink"/>
          </w:rPr>
          <w:t xml:space="preserve">5</w:t>
        </w:r>
      </w:hyperlink>
      <w:r>
        <w:t xml:space="preserve">) classifies the surrounding prose as</w:t>
      </w:r>
      <w:r>
        <w:t xml:space="preserve"> </w:t>
      </w:r>
      <w:r>
        <w:t xml:space="preserve">negation and suppresses the match. This is the precision case that most</w:t>
      </w:r>
      <w:r>
        <w:t xml:space="preserve"> </w:t>
      </w:r>
      <w:r>
        <w:t xml:space="preserve">distinguishes a context-aware detector from pattern matching, and it is</w:t>
      </w:r>
      <w:r>
        <w:t xml:space="preserve"> </w:t>
      </w:r>
      <w:r>
        <w:t xml:space="preserve">why the corpus carries benign samples that deliberately name the attacks</w:t>
      </w:r>
      <w:r>
        <w:t xml:space="preserve"> </w:t>
      </w:r>
      <w:r>
        <w:t xml:space="preserve">they describe.</w:t>
      </w:r>
    </w:p>
    <w:bookmarkEnd w:id="84"/>
    <w:bookmarkEnd w:id="85"/>
    <w:bookmarkStart w:id="92" w:name="sec:related"/>
    <w:p>
      <w:pPr>
        <w:pStyle w:val="Heading1"/>
      </w:pPr>
      <w:r>
        <w:t xml:space="preserve">Related Work</w:t>
      </w:r>
    </w:p>
    <w:bookmarkStart w:id="86" w:name="software-supply-chain-provenance"/>
    <w:p>
      <w:pPr>
        <w:pStyle w:val="Heading2"/>
      </w:pPr>
      <w:r>
        <w:t xml:space="preserve">Software supply-chain provenance</w:t>
      </w:r>
    </w:p>
    <w:p>
      <w:pPr>
        <w:pStyle w:val="FirstParagraph"/>
      </w:pPr>
      <w:r>
        <w:t xml:space="preserve">A decade of supply-chain work targeted the build pipeline.</w:t>
      </w:r>
      <w:r>
        <w:t xml:space="preserve"> </w:t>
      </w:r>
      <w:r>
        <w:t xml:space="preserve">SLSA </w:t>
      </w:r>
      <w:r>
        <w:t xml:space="preserve">[1]</w:t>
      </w:r>
      <w:r>
        <w:t xml:space="preserve"> </w:t>
      </w:r>
      <w:r>
        <w:t xml:space="preserve">formalizes provenance levels;</w:t>
      </w:r>
      <w:r>
        <w:t xml:space="preserve"> </w:t>
      </w:r>
      <w:r>
        <w:t xml:space="preserve">in-toto </w:t>
      </w:r>
      <w:r>
        <w:t xml:space="preserve">[2]</w:t>
      </w:r>
      <w:r>
        <w:t xml:space="preserve"> </w:t>
      </w:r>
      <w:r>
        <w:t xml:space="preserve">provides the predicate-based</w:t>
      </w:r>
      <w:r>
        <w:t xml:space="preserve"> </w:t>
      </w:r>
      <w:r>
        <w:t xml:space="preserve">attestation framework we inherit; Sigstore </w:t>
      </w:r>
      <w:r>
        <w:t xml:space="preserve">[3]</w:t>
      </w:r>
      <w:r>
        <w:t xml:space="preserve"> </w:t>
      </w:r>
      <w:r>
        <w:t xml:space="preserve">provides keyless signing for the public-registry path. All verify that a</w:t>
      </w:r>
      <w:r>
        <w:t xml:space="preserve"> </w:t>
      </w:r>
      <w:r>
        <w:t xml:space="preserve">compiled artifact came from a specific commit and was signed by an</w:t>
      </w:r>
      <w:r>
        <w:t xml:space="preserve"> </w:t>
      </w:r>
      <w:r>
        <w:t xml:space="preserve">authorized identity. PrimitiveHub adds a semantic-validation step</w:t>
      </w:r>
      <w:r>
        <w:t xml:space="preserve"> </w:t>
      </w:r>
      <w:r>
        <w:rPr>
          <w:i/>
          <w:iCs/>
        </w:rPr>
        <w:t xml:space="preserve">before</w:t>
      </w:r>
      <w:r>
        <w:t xml:space="preserve"> </w:t>
      </w:r>
      <w:r>
        <w:t xml:space="preserve">signing, so content the chain would otherwise certify as</w:t>
      </w:r>
      <w:r>
        <w:t xml:space="preserve"> </w:t>
      </w:r>
      <w:r>
        <w:t xml:space="preserve">authentic-but-unsafe is rejected at publish time. The incident record</w:t>
      </w:r>
      <w:r>
        <w:t xml:space="preserve"> </w:t>
      </w:r>
      <w:r>
        <w:t xml:space="preserve">that motivates the extension is well</w:t>
      </w:r>
      <w:r>
        <w:t xml:space="preserve"> </w:t>
      </w:r>
      <w:r>
        <w:t xml:space="preserve">cataloged </w:t>
      </w:r>
      <w:r>
        <w:t xml:space="preserve">[4], [5], [6], [7], [8], [9]</w:t>
      </w:r>
      <w:r>
        <w:t xml:space="preserve">;</w:t>
      </w:r>
      <w:r>
        <w:t xml:space="preserve"> </w:t>
      </w:r>
      <w:r>
        <w:t xml:space="preserve">each exploited or motivated a layer of the SLSA/Sigstore/in-toto stack,</w:t>
      </w:r>
      <w:r>
        <w:t xml:space="preserve"> </w:t>
      </w:r>
      <w:r>
        <w:t xml:space="preserve">and the Top 10 names the analogous layer for agent context.</w:t>
      </w:r>
    </w:p>
    <w:bookmarkEnd w:id="86"/>
    <w:bookmarkStart w:id="87" w:name="prompt-injection-defense"/>
    <w:p>
      <w:pPr>
        <w:pStyle w:val="Heading2"/>
      </w:pPr>
      <w:r>
        <w:t xml:space="preserve">Prompt-injection defense</w:t>
      </w:r>
    </w:p>
    <w:p>
      <w:pPr>
        <w:pStyle w:val="FirstParagraph"/>
      </w:pPr>
      <w:r>
        <w:t xml:space="preserve">Prior prompt-injection work is largely runtime. Perez and</w:t>
      </w:r>
      <w:r>
        <w:t xml:space="preserve"> </w:t>
      </w:r>
      <w:r>
        <w:t xml:space="preserve">Ribeiro </w:t>
      </w:r>
      <w:r>
        <w:t xml:space="preserve">[27]</w:t>
      </w:r>
      <w:r>
        <w:t xml:space="preserve"> </w:t>
      </w:r>
      <w:r>
        <w:t xml:space="preserve">first characterized</w:t>
      </w:r>
      <w:r>
        <w:t xml:space="preserve"> </w:t>
      </w:r>
      <w:r>
        <w:t xml:space="preserve">goal-hijacking and prompt-leaking attacks on deployed models. Greshake et</w:t>
      </w:r>
      <w:r>
        <w:t xml:space="preserve"> </w:t>
      </w:r>
      <w:r>
        <w:t xml:space="preserve">al. </w:t>
      </w:r>
      <w:r>
        <w:t xml:space="preserve">[12]</w:t>
      </w:r>
      <w:r>
        <w:t xml:space="preserve"> </w:t>
      </w:r>
      <w:r>
        <w:t xml:space="preserve">catalog the indirect</w:t>
      </w:r>
      <w:r>
        <w:t xml:space="preserve"> </w:t>
      </w:r>
      <w:r>
        <w:t xml:space="preserve">injection surface and its runtime mitigations: input filtering,</w:t>
      </w:r>
      <w:r>
        <w:t xml:space="preserve"> </w:t>
      </w:r>
      <w:r>
        <w:t xml:space="preserve">retrieval sanitization, output post-processing. Wallace et</w:t>
      </w:r>
      <w:r>
        <w:t xml:space="preserve"> </w:t>
      </w:r>
      <w:r>
        <w:t xml:space="preserve">al. </w:t>
      </w:r>
      <w:r>
        <w:t xml:space="preserve">[11]</w:t>
      </w:r>
      <w:r>
        <w:t xml:space="preserve"> </w:t>
      </w:r>
      <w:r>
        <w:t xml:space="preserve">train the model to rank</w:t>
      </w:r>
      <w:r>
        <w:t xml:space="preserve"> </w:t>
      </w:r>
      <w:r>
        <w:t xml:space="preserve">privileged against unprivileged instruction sources at inference time.</w:t>
      </w:r>
      <w:r>
        <w:t xml:space="preserve"> </w:t>
      </w:r>
      <w:r>
        <w:t xml:space="preserve">Both operate at execution time, and both leave part of a caught attack’s</w:t>
      </w:r>
      <w:r>
        <w:t xml:space="preserve"> </w:t>
      </w:r>
      <w:r>
        <w:t xml:space="preserve">cost already paid. PrimitiveHub moves the check earlier: detectors run at</w:t>
      </w:r>
      <w:r>
        <w:t xml:space="preserve"> </w:t>
      </w:r>
      <w:r>
        <w:t xml:space="preserve">publish time, verification runs at load time, and the artifact reaches</w:t>
      </w:r>
      <w:r>
        <w:t xml:space="preserve"> </w:t>
      </w:r>
      <w:r>
        <w:t xml:space="preserve">the agent only after passing. The shift mirrors the package-manager move</w:t>
      </w:r>
      <w:r>
        <w:t xml:space="preserve"> </w:t>
      </w:r>
      <w:r>
        <w:t xml:space="preserve">from</w:t>
      </w:r>
      <w:r>
        <w:t xml:space="preserve"> </w:t>
      </w:r>
      <w:r>
        <w:t xml:space="preserve">“warn on install”</w:t>
      </w:r>
      <w:r>
        <w:t xml:space="preserve"> </w:t>
      </w:r>
      <w:r>
        <w:t xml:space="preserve">to</w:t>
      </w:r>
      <w:r>
        <w:t xml:space="preserve"> </w:t>
      </w:r>
      <w:r>
        <w:t xml:space="preserve">“block known-bad.”</w:t>
      </w:r>
      <w:r>
        <w:t xml:space="preserve"> </w:t>
      </w:r>
      <w:r>
        <w:t xml:space="preserve">The two lines are</w:t>
      </w:r>
      <w:r>
        <w:t xml:space="preserve"> </w:t>
      </w:r>
      <w:r>
        <w:t xml:space="preserve">complementary: a runtime defense catches what the static pass missed,</w:t>
      </w:r>
      <w:r>
        <w:t xml:space="preserve"> </w:t>
      </w:r>
      <w:r>
        <w:t xml:space="preserve">and the static pass keeps the runtime defense’s workload smaller.</w:t>
      </w:r>
    </w:p>
    <w:bookmarkEnd w:id="87"/>
    <w:bookmarkStart w:id="88" w:name="owasp-top-10-for-llm-applications"/>
    <w:p>
      <w:pPr>
        <w:pStyle w:val="Heading2"/>
      </w:pPr>
      <w:r>
        <w:t xml:space="preserve">OWASP Top 10 for LLM applications</w:t>
      </w:r>
    </w:p>
    <w:p>
      <w:pPr>
        <w:pStyle w:val="FirstParagraph"/>
      </w:pPr>
      <w:r>
        <w:t xml:space="preserve">The OWASP Top 10 for LLM Applications </w:t>
      </w:r>
      <w:r>
        <w:t xml:space="preserve">[16]</w:t>
      </w:r>
      <w:r>
        <w:t xml:space="preserve"> </w:t>
      </w:r>
      <w:r>
        <w:t xml:space="preserve">spans</w:t>
      </w:r>
      <w:r>
        <w:t xml:space="preserve"> </w:t>
      </w:r>
      <w:r>
        <w:t xml:space="preserve">prompt injection (LLM01), insecure output handling, training-data</w:t>
      </w:r>
      <w:r>
        <w:t xml:space="preserve"> </w:t>
      </w:r>
      <w:r>
        <w:t xml:space="preserve">poisoning, supply-chain risk (LLM05), and others. Our Top 10 overlaps it</w:t>
      </w:r>
      <w:r>
        <w:t xml:space="preserve"> </w:t>
      </w:r>
      <w:r>
        <w:t xml:space="preserve">at LLM01 and LLM05, the slice detectable statically on content; the</w:t>
      </w:r>
      <w:r>
        <w:t xml:space="preserve"> </w:t>
      </w:r>
      <w:r>
        <w:t xml:space="preserve">crosswalk documents the alignment row by row and disclaims the runtime</w:t>
      </w:r>
      <w:r>
        <w:t xml:space="preserve"> </w:t>
      </w:r>
      <w:r>
        <w:t xml:space="preserve">categories (insecure output handling, denial of service, post-inference</w:t>
      </w:r>
      <w:r>
        <w:t xml:space="preserve"> </w:t>
      </w:r>
      <w:r>
        <w:t xml:space="preserve">disclosure) as out of scope rather than claiming coverage.</w:t>
      </w:r>
    </w:p>
    <w:bookmarkEnd w:id="88"/>
    <w:bookmarkStart w:id="89" w:name="antivirus-methodology"/>
    <w:p>
      <w:pPr>
        <w:pStyle w:val="Heading2"/>
      </w:pPr>
      <w:r>
        <w:t xml:space="preserve">Antivirus methodology</w:t>
      </w:r>
    </w:p>
    <w:p>
      <w:pPr>
        <w:pStyle w:val="FirstParagraph"/>
      </w:pPr>
      <w:r>
        <w:t xml:space="preserve">The antivirus field established rule-based malicious-pattern detection</w:t>
      </w:r>
      <w:r>
        <w:t xml:space="preserve"> </w:t>
      </w:r>
      <w:r>
        <w:t xml:space="preserve">and the practice of maintaining it as a</w:t>
      </w:r>
      <w:r>
        <w:t xml:space="preserve"> </w:t>
      </w:r>
      <w:r>
        <w:t xml:space="preserve">product </w:t>
      </w:r>
      <w:r>
        <w:t xml:space="preserve">[14], [28]</w:t>
      </w:r>
      <w:r>
        <w:t xml:space="preserve">.</w:t>
      </w:r>
      <w:r>
        <w:t xml:space="preserve"> </w:t>
      </w:r>
      <w:r>
        <w:t xml:space="preserve">PrimitiveHub adapts the operational scaffolding around that detection,</w:t>
      </w:r>
      <w:r>
        <w:t xml:space="preserve"> </w:t>
      </w:r>
      <w:r>
        <w:t xml:space="preserve">namely append-only false-positive and false-negative ledgers,</w:t>
      </w:r>
      <w:r>
        <w:t xml:space="preserve"> </w:t>
      </w:r>
      <w:r>
        <w:t xml:space="preserve">per-detector versioning, and a corpus that serves as ground truth, to the</w:t>
      </w:r>
      <w:r>
        <w:t xml:space="preserve"> </w:t>
      </w:r>
      <w:r>
        <w:t xml:space="preserve">agent-context substrate. What changes is the substrate: primitives are</w:t>
      </w:r>
      <w:r>
        <w:t xml:space="preserve"> </w:t>
      </w:r>
      <w:r>
        <w:t xml:space="preserve">markdown documents with semantic content, not binaries, so the detection</w:t>
      </w:r>
      <w:r>
        <w:t xml:space="preserve"> </w:t>
      </w:r>
      <w:r>
        <w:t xml:space="preserve">techniques diverge (regex pools with markdown-context awareness, skeleton</w:t>
      </w:r>
      <w:r>
        <w:t xml:space="preserve"> </w:t>
      </w:r>
      <w:r>
        <w:t xml:space="preserve">comparison for vendor names, codepoint-density checks) even as the</w:t>
      </w:r>
      <w:r>
        <w:t xml:space="preserve"> </w:t>
      </w:r>
      <w:r>
        <w:t xml:space="preserve">surrounding discipline stays AV-standard.</w:t>
      </w:r>
    </w:p>
    <w:bookmarkEnd w:id="89"/>
    <w:bookmarkStart w:id="90" w:name="unicode-based-attacks"/>
    <w:p>
      <w:pPr>
        <w:pStyle w:val="Heading2"/>
      </w:pPr>
      <w:r>
        <w:t xml:space="preserve">Unicode-based attacks</w:t>
      </w:r>
    </w:p>
    <w:p>
      <w:pPr>
        <w:pStyle w:val="FirstParagraph"/>
      </w:pPr>
      <w:r>
        <w:t xml:space="preserve">The confusables detector uses the UTS #39 skeleton</w:t>
      </w:r>
      <w:r>
        <w:t xml:space="preserve"> </w:t>
      </w:r>
      <w:r>
        <w:t xml:space="preserve">method </w:t>
      </w:r>
      <w:r>
        <w:t xml:space="preserve">[15]</w:t>
      </w:r>
      <w:r>
        <w:t xml:space="preserve">. The method is</w:t>
      </w:r>
      <w:r>
        <w:t xml:space="preserve"> </w:t>
      </w:r>
      <w:r>
        <w:t xml:space="preserve">standardized; applying it to vendor-name impersonation in agent context</w:t>
      </w:r>
      <w:r>
        <w:t xml:space="preserve"> </w:t>
      </w:r>
      <w:r>
        <w:t xml:space="preserve">is the new target. Homograph and confusable attacks have been documented</w:t>
      </w:r>
      <w:r>
        <w:t xml:space="preserve"> </w:t>
      </w:r>
      <w:r>
        <w:t xml:space="preserve">against internationalized domain names for over two</w:t>
      </w:r>
      <w:r>
        <w:t xml:space="preserve"> </w:t>
      </w:r>
      <w:r>
        <w:t xml:space="preserve">decades </w:t>
      </w:r>
      <w:r>
        <w:t xml:space="preserve">[29]</w:t>
      </w:r>
      <w:r>
        <w:t xml:space="preserve">; we bring the same tradecraft</w:t>
      </w:r>
      <w:r>
        <w:t xml:space="preserve"> </w:t>
      </w:r>
      <w:r>
        <w:t xml:space="preserve">to the primitive registry, where the same attacker behavior appears in</w:t>
      </w:r>
      <w:r>
        <w:t xml:space="preserve"> </w:t>
      </w:r>
      <w:r>
        <w:t xml:space="preserve">field reports.</w:t>
      </w:r>
    </w:p>
    <w:bookmarkEnd w:id="90"/>
    <w:bookmarkStart w:id="91" w:name="measurement-methodology"/>
    <w:p>
      <w:pPr>
        <w:pStyle w:val="Heading2"/>
      </w:pPr>
      <w:r>
        <w:t xml:space="preserve">Measurement methodology</w:t>
      </w:r>
    </w:p>
    <w:p>
      <w:pPr>
        <w:pStyle w:val="FirstParagraph"/>
      </w:pPr>
      <w:r>
        <w:t xml:space="preserve">The precision/recall/F</w:t>
      </w:r>
      <w:r>
        <w:rPr>
          <w:vertAlign w:val="subscript"/>
        </w:rPr>
        <w:t xml:space="preserve">1</w:t>
      </w:r>
      <w:r>
        <w:t xml:space="preserve"> </w:t>
      </w:r>
      <w:r>
        <w:t xml:space="preserve">convention follows</w:t>
      </w:r>
      <w:r>
        <w:t xml:space="preserve"> </w:t>
      </w:r>
      <w:r>
        <w:t xml:space="preserve">Powers </w:t>
      </w:r>
      <w:r>
        <w:t xml:space="preserve">[24]</w:t>
      </w:r>
      <w:r>
        <w:t xml:space="preserve">, with unweighted</w:t>
      </w:r>
      <w:r>
        <w:t xml:space="preserve"> </w:t>
      </w:r>
      <w:r>
        <w:t xml:space="preserve">macro-averaging because each category is a separate defense. The</w:t>
      </w:r>
      <w:r>
        <w:t xml:space="preserve"> </w:t>
      </w:r>
      <w:r>
        <w:t xml:space="preserve">held-out discipline follows the train/test tradition long standard in</w:t>
      </w:r>
      <w:r>
        <w:t xml:space="preserve"> </w:t>
      </w:r>
      <w:r>
        <w:t xml:space="preserve">machine learning </w:t>
      </w:r>
      <w:r>
        <w:t xml:space="preserve">[30]</w:t>
      </w:r>
      <w:r>
        <w:t xml:space="preserve">, applied per</w:t>
      </w:r>
      <w:r>
        <w:t xml:space="preserve"> </w:t>
      </w:r>
      <w:r>
        <w:t xml:space="preserve">detector at an 80/20 ratio </w:t>
      </w:r>
      <w:r>
        <w:t xml:space="preserve">[25]</w:t>
      </w:r>
      <w:r>
        <w:t xml:space="preserve">. The</w:t>
      </w:r>
      <w:r>
        <w:t xml:space="preserve"> </w:t>
      </w:r>
      <w:r>
        <w:t xml:space="preserve">per-sample replay surface has no direct analogue in classical AV work,</w:t>
      </w:r>
      <w:r>
        <w:t xml:space="preserve"> </w:t>
      </w:r>
      <w:r>
        <w:t xml:space="preserve">where signature databases were proprietary; the closer parallel is the</w:t>
      </w:r>
      <w:r>
        <w:t xml:space="preserve"> </w:t>
      </w:r>
      <w:r>
        <w:t xml:space="preserve">open conformance-suite tradition, where labeled inputs and per-test</w:t>
      </w:r>
      <w:r>
        <w:t xml:space="preserve"> </w:t>
      </w:r>
      <w:r>
        <w:t xml:space="preserve">outcomes are public so independent implementations can be compared. The</w:t>
      </w:r>
      <w:r>
        <w:t xml:space="preserve"> </w:t>
      </w:r>
      <w:r>
        <w:t xml:space="preserve">fake-citation detector consults two external authority taxonomies as</w:t>
      </w:r>
      <w:r>
        <w:t xml:space="preserve"> </w:t>
      </w:r>
      <w:r>
        <w:t xml:space="preserve">ground truth at runtime: the CVE catalog </w:t>
      </w:r>
      <w:r>
        <w:t xml:space="preserve">[31]</w:t>
      </w:r>
      <w:r>
        <w:t xml:space="preserve"> </w:t>
      </w:r>
      <w:r>
        <w:t xml:space="preserve">and the US patent issuance record </w:t>
      </w:r>
      <w:r>
        <w:t xml:space="preserve">[32]</w:t>
      </w:r>
      <w:r>
        <w:t xml:space="preserve">. The</w:t>
      </w:r>
      <w:r>
        <w:t xml:space="preserve"> </w:t>
      </w:r>
      <w:r>
        <w:t xml:space="preserve">open held-out coverage gaps are tracked as future</w:t>
      </w:r>
      <w:r>
        <w:t xml:space="preserve"> </w:t>
      </w:r>
      <w:r>
        <w:t xml:space="preserve">work </w:t>
      </w:r>
      <w:r>
        <w:t xml:space="preserve">[33]</w:t>
      </w:r>
      <w:r>
        <w:t xml:space="preserve">.</w:t>
      </w:r>
    </w:p>
    <w:bookmarkEnd w:id="91"/>
    <w:bookmarkEnd w:id="92"/>
    <w:bookmarkStart w:id="157" w:name="sec:conclusion"/>
    <w:p>
      <w:pPr>
        <w:pStyle w:val="Heading1"/>
      </w:pPr>
      <w:r>
        <w:t xml:space="preserve">Conclusion and Future Work</w:t>
      </w:r>
    </w:p>
    <w:bookmarkStart w:id="93" w:name="summary"/>
    <w:p>
      <w:pPr>
        <w:pStyle w:val="Heading2"/>
      </w:pPr>
      <w:r>
        <w:t xml:space="preserve">Summary</w:t>
      </w:r>
    </w:p>
    <w:p>
      <w:pPr>
        <w:pStyle w:val="FirstParagraph"/>
      </w:pPr>
      <w:r>
        <w:t xml:space="preserve">AI-agent context is a new class of supply-chain artifact, and the</w:t>
      </w:r>
      <w:r>
        <w:t xml:space="preserve"> </w:t>
      </w:r>
      <w:r>
        <w:t xml:space="preserve">existing controls (SLSA, in-toto, Sigstore, package-manager provenance)</w:t>
      </w:r>
      <w:r>
        <w:t xml:space="preserve"> </w:t>
      </w:r>
      <w:r>
        <w:t xml:space="preserve">do not reach it. A primitive can be signed, content digest-verified,</w:t>
      </w:r>
      <w:r>
        <w:t xml:space="preserve"> </w:t>
      </w:r>
      <w:r>
        <w:t xml:space="preserve">and unchanged since signing, and still tell the consuming agent to fetch</w:t>
      </w:r>
      <w:r>
        <w:t xml:space="preserve"> </w:t>
      </w:r>
      <w:r>
        <w:t xml:space="preserve">a remote URL and run the response. The missing layer is a semantic check</w:t>
      </w:r>
      <w:r>
        <w:t xml:space="preserve"> </w:t>
      </w:r>
      <w:r>
        <w:t xml:space="preserve">that scans a primitive’s prose for known attack shapes before it reaches</w:t>
      </w:r>
      <w:r>
        <w:t xml:space="preserve"> </w:t>
      </w:r>
      <w:r>
        <w:t xml:space="preserve">the agent’s load path.</w:t>
      </w:r>
    </w:p>
    <w:p>
      <w:pPr>
        <w:pStyle w:val="BodyText"/>
      </w:pPr>
      <w:r>
        <w:t xml:space="preserve">We presented PrimitiveHub, a registry and static-analysis pipeline that</w:t>
      </w:r>
      <w:r>
        <w:t xml:space="preserve"> </w:t>
      </w:r>
      <w:r>
        <w:t xml:space="preserve">adds that layer. The contributions are a ten-category threat taxonomy</w:t>
      </w:r>
      <w:r>
        <w:t xml:space="preserve"> </w:t>
      </w:r>
      <w:r>
        <w:t xml:space="preserve">defined operationally; a 124-sample labeled corpus split into in-sample</w:t>
      </w:r>
      <w:r>
        <w:t xml:space="preserve"> </w:t>
      </w:r>
      <w:r>
        <w:t xml:space="preserve">and held-out slices; two engines whose verdicts a CI gate holds</w:t>
      </w:r>
      <w:r>
        <w:t xml:space="preserve"> </w:t>
      </w:r>
      <w:r>
        <w:t xml:space="preserve">identical on the in-sample slice; an AV-style paired-ledger discipline;</w:t>
      </w:r>
      <w:r>
        <w:t xml:space="preserve"> </w:t>
      </w:r>
      <w:r>
        <w:t xml:space="preserve">and an open pipeline a reviewer can rerun from a clean clone. On the</w:t>
      </w:r>
      <w:r>
        <w:t xml:space="preserve"> </w:t>
      </w:r>
      <w:r>
        <w:t xml:space="preserve">in-sample slice the detectors reach a macro F</w:t>
      </w:r>
      <w:r>
        <w:rPr>
          <w:vertAlign w:val="subscript"/>
        </w:rPr>
        <w:t xml:space="preserve">1</w:t>
      </w:r>
      <w:r>
        <w:t xml:space="preserve"> </w:t>
      </w:r>
      <w:r>
        <w:t xml:space="preserve">of 0.991,</w:t>
      </w:r>
      <w:r>
        <w:t xml:space="preserve"> </w:t>
      </w:r>
      <w:r>
        <w:t xml:space="preserve">with one known precision item. On the held-out slice the Python engine</w:t>
      </w:r>
      <w:r>
        <w:t xml:space="preserve"> </w:t>
      </w:r>
      <w:r>
        <w:t xml:space="preserve">recovers all 25 attacks and the TypeScript engine recovers 18, a result</w:t>
      </w:r>
      <w:r>
        <w:t xml:space="preserve"> </w:t>
      </w:r>
      <w:r>
        <w:t xml:space="preserve">we report rather than tune away because it is the clearest evidence the</w:t>
      </w:r>
      <w:r>
        <w:t xml:space="preserve"> </w:t>
      </w:r>
      <w:r>
        <w:t xml:space="preserve">measurement is real. The corpus, the ledgers, and the gate are what let</w:t>
      </w:r>
      <w:r>
        <w:t xml:space="preserve"> </w:t>
      </w:r>
      <w:r>
        <w:t xml:space="preserve">a future measurement at a larger size be compared against this one.</w:t>
      </w:r>
    </w:p>
    <w:bookmarkEnd w:id="93"/>
    <w:bookmarkStart w:id="99" w:name="future-work"/>
    <w:p>
      <w:pPr>
        <w:pStyle w:val="Heading2"/>
      </w:pPr>
      <w:r>
        <w:t xml:space="preserve">Future work</w:t>
      </w:r>
    </w:p>
    <w:bookmarkStart w:id="94" w:name="close-the-cross-engine-recall-gap"/>
    <w:p>
      <w:pPr>
        <w:pStyle w:val="Heading4"/>
      </w:pPr>
      <w:r>
        <w:t xml:space="preserve">Close the cross-engine recall gap</w:t>
      </w:r>
    </w:p>
    <w:p>
      <w:pPr>
        <w:pStyle w:val="FirstParagraph"/>
      </w:pPr>
      <w:r>
        <w:t xml:space="preserve">The most immediate work is</w:t>
      </w:r>
      <w:r>
        <w:t xml:space="preserve"> </w:t>
      </w:r>
      <w:r>
        <w:t xml:space="preserve">bringing the TypeScript engine’s held-out recovery up to the Python</w:t>
      </w:r>
      <w:r>
        <w:t xml:space="preserve"> </w:t>
      </w:r>
      <w:r>
        <w:t xml:space="preserve">engine’s. Each of the seven misses is a lockstep ratchet (Path C)</w:t>
      </w:r>
      <w:r>
        <w:t xml:space="preserve"> </w:t>
      </w:r>
      <w:r>
        <w:t xml:space="preserve">recorded in the false-negative ledger, with the corresponding corpus</w:t>
      </w:r>
      <w:r>
        <w:t xml:space="preserve"> </w:t>
      </w:r>
      <w:r>
        <w:t xml:space="preserve">sample locking the fix.</w:t>
      </w:r>
    </w:p>
    <w:bookmarkEnd w:id="94"/>
    <w:bookmarkStart w:id="95" w:name="resolve-the-cci-005-false-positive"/>
    <w:p>
      <w:pPr>
        <w:pStyle w:val="Heading4"/>
      </w:pPr>
      <w:r>
        <w:t xml:space="preserve">Resolve the CCI-005 false positive</w:t>
      </w:r>
    </w:p>
    <w:p>
      <w:pPr>
        <w:pStyle w:val="FirstParagraph"/>
      </w:pPr>
      <w:r>
        <w:t xml:space="preserve">The single in-sample</w:t>
      </w:r>
      <w:r>
        <w:t xml:space="preserve"> </w:t>
      </w:r>
      <w:r>
        <w:t xml:space="preserve">false positive on the unsafe-shell-install detector is the open</w:t>
      </w:r>
      <w:r>
        <w:t xml:space="preserve"> </w:t>
      </w:r>
      <w:r>
        <w:t xml:space="preserve">precision item, resolvable through a prose edit (Path A) or a detector</w:t>
      </w:r>
      <w:r>
        <w:t xml:space="preserve"> </w:t>
      </w:r>
      <w:r>
        <w:t xml:space="preserve">narrowing (Path C) measured against the corpus.</w:t>
      </w:r>
    </w:p>
    <w:bookmarkEnd w:id="95"/>
    <w:bookmarkStart w:id="96" w:name="expand-the-corpus-with-held-out-parity"/>
    <w:p>
      <w:pPr>
        <w:pStyle w:val="Heading4"/>
      </w:pPr>
      <w:r>
        <w:t xml:space="preserve">Expand the corpus, with held-out parity</w:t>
      </w:r>
    </w:p>
    <w:p>
      <w:pPr>
        <w:pStyle w:val="FirstParagraph"/>
      </w:pPr>
      <w:r>
        <w:t xml:space="preserve">The next round</w:t>
      </w:r>
      <w:r>
        <w:t xml:space="preserve"> </w:t>
      </w:r>
      <w:r>
        <w:t xml:space="preserve">targets a tenfold growth in per-detector support and at least three</w:t>
      </w:r>
      <w:r>
        <w:t xml:space="preserve"> </w:t>
      </w:r>
      <w:r>
        <w:t xml:space="preserve">held-out samples per detector, so the overfit probe is as dense as the</w:t>
      </w:r>
      <w:r>
        <w:t xml:space="preserve"> </w:t>
      </w:r>
      <w:r>
        <w:t xml:space="preserve">training slice. Every expansion ships held-out samples the detectors are</w:t>
      </w:r>
      <w:r>
        <w:t xml:space="preserve"> </w:t>
      </w:r>
      <w:r>
        <w:t xml:space="preserve">not permitted to tune against until the closure round.</w:t>
      </w:r>
    </w:p>
    <w:bookmarkEnd w:id="96"/>
    <w:bookmarkStart w:id="97" w:name="multilingual-adversarial-samples"/>
    <w:p>
      <w:pPr>
        <w:pStyle w:val="Heading4"/>
      </w:pPr>
      <w:r>
        <w:t xml:space="preserve">Multilingual adversarial samples</w:t>
      </w:r>
    </w:p>
    <w:p>
      <w:pPr>
        <w:pStyle w:val="FirstParagraph"/>
      </w:pPr>
      <w:r>
        <w:t xml:space="preserve">Russian, Chinese, Arabic,</w:t>
      </w:r>
      <w:r>
        <w:t xml:space="preserve"> </w:t>
      </w:r>
      <w:r>
        <w:t xml:space="preserve">and Spanish variants are scheduled for v0.3 to test detection beyond the</w:t>
      </w:r>
      <w:r>
        <w:t xml:space="preserve"> </w:t>
      </w:r>
      <w:r>
        <w:t xml:space="preserve">English-language phrasing bias, bounded by a script-identifier</w:t>
      </w:r>
      <w:r>
        <w:t xml:space="preserve"> </w:t>
      </w:r>
      <w:r>
        <w:t xml:space="preserve">discipline so detection generalizes rather than hard-codes per language.</w:t>
      </w:r>
    </w:p>
    <w:bookmarkEnd w:id="97"/>
    <w:bookmarkStart w:id="98" w:name="runtime-gating-and-full-confusables"/>
    <w:p>
      <w:pPr>
        <w:pStyle w:val="Heading4"/>
      </w:pPr>
      <w:r>
        <w:t xml:space="preserve">Runtime gating and full confusables</w:t>
      </w:r>
    </w:p>
    <w:p>
      <w:pPr>
        <w:pStyle w:val="FirstParagraph"/>
      </w:pPr>
      <w:r>
        <w:t xml:space="preserve">The agent-side</w:t>
      </w:r>
      <w:r>
        <w:t xml:space="preserve"> </w:t>
      </w:r>
      <w:r>
        <w:rPr>
          <w:rStyle w:val="VerbatimChar"/>
        </w:rPr>
        <w:t xml:space="preserve">verify_before_load</w:t>
      </w:r>
      <w:r>
        <w:t xml:space="preserve"> </w:t>
      </w:r>
      <w:r>
        <w:t xml:space="preserve">gate enforces signature and lock-digest</w:t>
      </w:r>
      <w:r>
        <w:t xml:space="preserve"> </w:t>
      </w:r>
      <w:r>
        <w:t xml:space="preserve">integrity, but does not yet re-run the full Top 10 inside the MCP server</w:t>
      </w:r>
      <w:r>
        <w:t xml:space="preserve"> </w:t>
      </w:r>
      <w:r>
        <w:t xml:space="preserve">at the moment of load (the detectors are reachable there only through</w:t>
      </w:r>
      <w:r>
        <w:t xml:space="preserve"> </w:t>
      </w:r>
      <w:r>
        <w:t xml:space="preserve">the separate</w:t>
      </w:r>
      <w:r>
        <w:t xml:space="preserve"> </w:t>
      </w:r>
      <w:r>
        <w:rPr>
          <w:rStyle w:val="VerbatimChar"/>
        </w:rPr>
        <w:t xml:space="preserve">scan_text</w:t>
      </w:r>
      <w:r>
        <w:t xml:space="preserve"> </w:t>
      </w:r>
      <w:r>
        <w:t xml:space="preserve">tool). A later round folds the full</w:t>
      </w:r>
      <w:r>
        <w:t xml:space="preserve"> </w:t>
      </w:r>
      <w:r>
        <w:t xml:space="preserve">re-scan into the gate, so even a corrupted lock file cannot deliver a</w:t>
      </w:r>
      <w:r>
        <w:t xml:space="preserve"> </w:t>
      </w:r>
      <w:r>
        <w:t xml:space="preserve">known-bad primitive to a running agent. Separately, the confusables</w:t>
      </w:r>
      <w:r>
        <w:t xml:space="preserve"> </w:t>
      </w:r>
      <w:r>
        <w:t xml:space="preserve">detector will grow from the 35-vendor list to the full UTS #39</w:t>
      </w:r>
      <w:r>
        <w:t xml:space="preserve"> </w:t>
      </w:r>
      <w:r>
        <w:t xml:space="preserve">distribution and UAX #31 identifier rules, an expansion that is mostly</w:t>
      </w:r>
      <w:r>
        <w:t xml:space="preserve"> </w:t>
      </w:r>
      <w:r>
        <w:t xml:space="preserve">data, since the algorithm is unchanged.</w:t>
      </w:r>
    </w:p>
    <w:bookmarkEnd w:id="98"/>
    <w:bookmarkEnd w:id="99"/>
    <w:bookmarkStart w:id="156" w:name="closing"/>
    <w:p>
      <w:pPr>
        <w:pStyle w:val="Heading2"/>
      </w:pPr>
      <w:r>
        <w:t xml:space="preserve">Closing</w:t>
      </w:r>
    </w:p>
    <w:p>
      <w:pPr>
        <w:pStyle w:val="FirstParagraph"/>
      </w:pPr>
      <w:r>
        <w:t xml:space="preserve">Static validation of agent-context artifacts is an emerging defense</w:t>
      </w:r>
      <w:r>
        <w:t xml:space="preserve"> </w:t>
      </w:r>
      <w:r>
        <w:t xml:space="preserve">layer between provenance verification and runtime instruction handling.</w:t>
      </w:r>
      <w:r>
        <w:t xml:space="preserve"> </w:t>
      </w:r>
      <w:r>
        <w:t xml:space="preserve">This release should be read as a reproducible first measurement and a</w:t>
      </w:r>
      <w:r>
        <w:t xml:space="preserve"> </w:t>
      </w:r>
      <w:r>
        <w:t xml:space="preserve">benchmark</w:t>
      </w:r>
      <w:r>
        <w:t xml:space="preserve"> </w:t>
      </w:r>
      <w:r>
        <w:rPr>
          <w:i/>
          <w:iCs/>
        </w:rPr>
        <w:t xml:space="preserve">seed</w:t>
      </w:r>
      <w:r>
        <w:t xml:space="preserve">, not a mature detector benchmark: its contribution</w:t>
      </w:r>
      <w:r>
        <w:t xml:space="preserve"> </w:t>
      </w:r>
      <w:r>
        <w:t xml:space="preserve">is to fix the artifact class, the threat taxonomy, the measurement</w:t>
      </w:r>
      <w:r>
        <w:t xml:space="preserve"> </w:t>
      </w:r>
      <w:r>
        <w:t xml:space="preserve">contract, and the reproducibility path that larger evaluations can build</w:t>
      </w:r>
      <w:r>
        <w:t xml:space="preserve"> </w:t>
      </w:r>
      <w:r>
        <w:t xml:space="preserve">on, and the numbers are the first datapoint produced under that contract</w:t>
      </w:r>
      <w:r>
        <w:t xml:space="preserve"> </w:t>
      </w:r>
      <w:r>
        <w:t xml:space="preserve">rather than a settled performance claim. What makes them comparable to</w:t>
      </w:r>
      <w:r>
        <w:t xml:space="preserve"> </w:t>
      </w:r>
      <w:r>
        <w:t xml:space="preserve">future ones is the discipline behind them: a public corpus that doubles</w:t>
      </w:r>
      <w:r>
        <w:t xml:space="preserve"> </w:t>
      </w:r>
      <w:r>
        <w:t xml:space="preserve">as the regression contract, numbered append-only ledgers for every</w:t>
      </w:r>
      <w:r>
        <w:t xml:space="preserve"> </w:t>
      </w:r>
      <w:r>
        <w:t xml:space="preserve">false positive and false negative, and a CI gate that fails the merge on</w:t>
      </w:r>
      <w:r>
        <w:t xml:space="preserve"> </w:t>
      </w:r>
      <w:r>
        <w:t xml:space="preserve">in-sample regression or cross-language drift. We invite independent</w:t>
      </w:r>
      <w:r>
        <w:t xml:space="preserve"> </w:t>
      </w:r>
      <w:r>
        <w:t xml:space="preserve">replication at our public security contact and credit it in the ledger.</w:t>
      </w:r>
      <w:r>
        <w:t xml:space="preserve"> </w:t>
      </w:r>
      <w:r>
        <w:t xml:space="preserve">The corpus is therefore not only an evaluation set but the mechanism by</w:t>
      </w:r>
      <w:r>
        <w:t xml:space="preserve"> </w:t>
      </w:r>
      <w:r>
        <w:t xml:space="preserve">which future detector changes remain comparable to the measurements</w:t>
      </w:r>
      <w:r>
        <w:t xml:space="preserve"> </w:t>
      </w:r>
      <w:r>
        <w:t xml:space="preserve">reported here.</w:t>
      </w:r>
    </w:p>
    <w:bookmarkStart w:id="155" w:name="refs"/>
    <w:bookmarkStart w:id="101" w:name="ref-SLSA:2023:provenance-spec"/>
    <w:p>
      <w:pPr>
        <w:pStyle w:val="Bibliography"/>
      </w:pPr>
      <w:r>
        <w:t xml:space="preserve">[1]</w:t>
      </w:r>
      <w:r>
        <w:t xml:space="preserve"> </w:t>
      </w:r>
      <w:r>
        <w:t xml:space="preserve">	</w:t>
      </w:r>
      <w:r>
        <w:t xml:space="preserve">Open Source Security Foundation (OpenSSF),</w:t>
      </w:r>
      <w:r>
        <w:t xml:space="preserve"> </w:t>
      </w:r>
      <w:r>
        <w:t xml:space="preserve">“Supply-chain levels for software artifacts (</w:t>
      </w:r>
      <w:r>
        <w:t xml:space="preserve">SLSA</w:t>
      </w:r>
      <w:r>
        <w:t xml:space="preserve">) specification.”</w:t>
      </w:r>
      <w:r>
        <w:t xml:space="preserve"> </w:t>
      </w:r>
      <w:r>
        <w:t xml:space="preserve">2023. Available:</w:t>
      </w:r>
      <w:r>
        <w:t xml:space="preserve"> </w:t>
      </w:r>
      <w:hyperlink r:id="rId100">
        <w:r>
          <w:rPr>
            <w:rStyle w:val="Hyperlink"/>
          </w:rPr>
          <w:t xml:space="preserve">https://slsa.dev/</w:t>
        </w:r>
      </w:hyperlink>
    </w:p>
    <w:bookmarkEnd w:id="101"/>
    <w:bookmarkStart w:id="102" w:name="ref-in-toto:2016:supply-chain"/>
    <w:p>
      <w:pPr>
        <w:pStyle w:val="Bibliography"/>
      </w:pPr>
      <w:r>
        <w:t xml:space="preserve">[2]</w:t>
      </w:r>
      <w:r>
        <w:t xml:space="preserve"> </w:t>
      </w:r>
      <w:r>
        <w:t xml:space="preserve">	</w:t>
      </w:r>
      <w:r>
        <w:t xml:space="preserve">S. Torres-Arias, H. Afzali, T. K. Kuppusamy, R. Curtmola, and J. Cappos,</w:t>
      </w:r>
      <w:r>
        <w:t xml:space="preserve"> </w:t>
      </w:r>
      <w:r>
        <w:t xml:space="preserve">“</w:t>
      </w:r>
      <w:r>
        <w:t xml:space="preserve">in-toto</w:t>
      </w:r>
      <w:r>
        <w:t xml:space="preserve">: Providing farm-to-table guarantees for bits and bytes,”</w:t>
      </w:r>
      <w:r>
        <w:t xml:space="preserve"> </w:t>
      </w:r>
      <w:r>
        <w:t xml:space="preserve">in</w:t>
      </w:r>
      <w:r>
        <w:t xml:space="preserve"> </w:t>
      </w:r>
      <w:r>
        <w:rPr>
          <w:i/>
          <w:iCs/>
        </w:rPr>
        <w:t xml:space="preserve">USENIX security symposium</w:t>
      </w:r>
      <w:r>
        <w:t xml:space="preserve">, 2019.</w:t>
      </w:r>
    </w:p>
    <w:bookmarkEnd w:id="102"/>
    <w:bookmarkStart w:id="104" w:name="ref-Sigstore:2021:keyless-signing"/>
    <w:p>
      <w:pPr>
        <w:pStyle w:val="Bibliography"/>
      </w:pPr>
      <w:r>
        <w:t xml:space="preserve">[3]</w:t>
      </w:r>
      <w:r>
        <w:t xml:space="preserve"> </w:t>
      </w:r>
      <w:r>
        <w:t xml:space="preserve">	</w:t>
      </w:r>
      <w:r>
        <w:t xml:space="preserve">Z. Newman, J. S. Meyers, and S. Torres-Arias,</w:t>
      </w:r>
      <w:r>
        <w:t xml:space="preserve"> </w:t>
      </w:r>
      <w:r>
        <w:t xml:space="preserve">“Sigstore: Software signing for everybody,”</w:t>
      </w:r>
      <w:r>
        <w:t xml:space="preserve"> </w:t>
      </w:r>
      <w:r>
        <w:t xml:space="preserve">in</w:t>
      </w:r>
      <w:r>
        <w:t xml:space="preserve"> </w:t>
      </w:r>
      <w:r>
        <w:rPr>
          <w:i/>
          <w:iCs/>
        </w:rPr>
        <w:t xml:space="preserve">Proceedings of the 2022 ACM SIGSAC conference on computer and communications security (CCS ’22)</w:t>
      </w:r>
      <w:r>
        <w:t xml:space="preserve">, 2022. doi:</w:t>
      </w:r>
      <w:r>
        <w:t xml:space="preserve"> </w:t>
      </w:r>
      <w:hyperlink r:id="rId103">
        <w:r>
          <w:rPr>
            <w:rStyle w:val="Hyperlink"/>
          </w:rPr>
          <w:t xml:space="preserve">10.1145/3548606.3560596</w:t>
        </w:r>
      </w:hyperlink>
      <w:r>
        <w:t xml:space="preserve">.</w:t>
      </w:r>
    </w:p>
    <w:bookmarkEnd w:id="104"/>
    <w:bookmarkStart w:id="105" w:name="ref-SolarWinds:2020:supply-chain"/>
    <w:p>
      <w:pPr>
        <w:pStyle w:val="Bibliography"/>
      </w:pPr>
      <w:r>
        <w:t xml:space="preserve">[4]</w:t>
      </w:r>
      <w:r>
        <w:t xml:space="preserve"> </w:t>
      </w:r>
      <w:r>
        <w:t xml:space="preserve">	</w:t>
      </w:r>
      <w:r>
        <w:t xml:space="preserve">FireEye/Mandiant,</w:t>
      </w:r>
      <w:r>
        <w:t xml:space="preserve"> </w:t>
      </w:r>
      <w:r>
        <w:t xml:space="preserve">“The</w:t>
      </w:r>
      <w:r>
        <w:t xml:space="preserve"> </w:t>
      </w:r>
      <w:r>
        <w:t xml:space="preserve">SUNBURST</w:t>
      </w:r>
      <w:r>
        <w:t xml:space="preserve"> </w:t>
      </w:r>
      <w:r>
        <w:t xml:space="preserve">backdoor and the</w:t>
      </w:r>
      <w:r>
        <w:t xml:space="preserve"> </w:t>
      </w:r>
      <w:r>
        <w:t xml:space="preserve">SolarWinds Orion</w:t>
      </w:r>
      <w:r>
        <w:t xml:space="preserve"> </w:t>
      </w:r>
      <w:r>
        <w:t xml:space="preserve">compromise.”</w:t>
      </w:r>
      <w:r>
        <w:t xml:space="preserve"> </w:t>
      </w:r>
      <w:r>
        <w:t xml:space="preserve">FireEye Threat Research Blog, 2020.</w:t>
      </w:r>
    </w:p>
    <w:bookmarkEnd w:id="105"/>
    <w:bookmarkStart w:id="106" w:name="ref-Codecov:2021:bash-uploader"/>
    <w:p>
      <w:pPr>
        <w:pStyle w:val="Bibliography"/>
      </w:pPr>
      <w:r>
        <w:t xml:space="preserve">[5]</w:t>
      </w:r>
      <w:r>
        <w:t xml:space="preserve"> </w:t>
      </w:r>
      <w:r>
        <w:t xml:space="preserve">	</w:t>
      </w:r>
      <w:r>
        <w:t xml:space="preserve">Codecov,</w:t>
      </w:r>
      <w:r>
        <w:t xml:space="preserve"> </w:t>
      </w:r>
      <w:r>
        <w:t xml:space="preserve">“The</w:t>
      </w:r>
      <w:r>
        <w:t xml:space="preserve"> </w:t>
      </w:r>
      <w:r>
        <w:t xml:space="preserve">Codecov</w:t>
      </w:r>
      <w:r>
        <w:t xml:space="preserve"> </w:t>
      </w:r>
      <w:r>
        <w:t xml:space="preserve">bash uploader supply-chain breach.”</w:t>
      </w:r>
      <w:r>
        <w:t xml:space="preserve"> </w:t>
      </w:r>
      <w:r>
        <w:t xml:space="preserve">2021.</w:t>
      </w:r>
    </w:p>
    <w:bookmarkEnd w:id="106"/>
    <w:bookmarkStart w:id="107" w:name="ref-ua-parser-js:2021:npm-typosquat"/>
    <w:p>
      <w:pPr>
        <w:pStyle w:val="Bibliography"/>
      </w:pPr>
      <w:r>
        <w:t xml:space="preserve">[6]</w:t>
      </w:r>
      <w:r>
        <w:t xml:space="preserve"> </w:t>
      </w:r>
      <w:r>
        <w:t xml:space="preserve">	</w:t>
      </w:r>
      <w:r>
        <w:t xml:space="preserve">GitHub Advisory Database,</w:t>
      </w:r>
      <w:r>
        <w:t xml:space="preserve"> </w:t>
      </w:r>
      <w:r>
        <w:t xml:space="preserve">“Compromise of</w:t>
      </w:r>
      <w:r>
        <w:t xml:space="preserve"> </w:t>
      </w:r>
      <w:r>
        <w:t xml:space="preserve">ua-parser-js</w:t>
      </w:r>
      <w:r>
        <w:t xml:space="preserve">: Cryptominer and credential stealer in versions 0.7.29, 0.8.0, and 1.0.0.”</w:t>
      </w:r>
      <w:r>
        <w:t xml:space="preserve"> </w:t>
      </w:r>
      <w:r>
        <w:t xml:space="preserve">GitHub Security Advisory database, 2021.</w:t>
      </w:r>
    </w:p>
    <w:bookmarkEnd w:id="107"/>
    <w:bookmarkStart w:id="109" w:name="Xe4e2036bf1b6bd018caf4319f7c5b3aa4e9d0c3"/>
    <w:p>
      <w:pPr>
        <w:pStyle w:val="Bibliography"/>
      </w:pPr>
      <w:r>
        <w:t xml:space="preserve">[7]</w:t>
      </w:r>
      <w:r>
        <w:t xml:space="preserve"> </w:t>
      </w:r>
      <w:r>
        <w:t xml:space="preserve">	</w:t>
      </w:r>
      <w:r>
        <w:t xml:space="preserve">GitHub Advisory Database,</w:t>
      </w:r>
      <w:r>
        <w:t xml:space="preserve"> </w:t>
      </w:r>
      <w:r>
        <w:t xml:space="preserve">“</w:t>
      </w:r>
      <w:r>
        <w:t xml:space="preserve">CVE-2025-54313</w:t>
      </w:r>
      <w:r>
        <w:t xml:space="preserve">: Embedded malicious code in</w:t>
      </w:r>
      <w:r>
        <w:t xml:space="preserve"> </w:t>
      </w:r>
      <w:r>
        <w:t xml:space="preserve">eslint-config-prettier</w:t>
      </w:r>
      <w:r>
        <w:t xml:space="preserve"> </w:t>
      </w:r>
      <w:r>
        <w:t xml:space="preserve">and related packages.”</w:t>
      </w:r>
      <w:r>
        <w:t xml:space="preserve"> </w:t>
      </w:r>
      <w:r>
        <w:t xml:space="preserve">GitHub Security Advisory GHSA-f29h-pxvx-f335, 2025. Available:</w:t>
      </w:r>
      <w:r>
        <w:t xml:space="preserve"> </w:t>
      </w:r>
      <w:hyperlink r:id="rId108">
        <w:r>
          <w:rPr>
            <w:rStyle w:val="Hyperlink"/>
          </w:rPr>
          <w:t xml:space="preserve">https://github.com/advisories/GHSA-f29h-pxvx-f335</w:t>
        </w:r>
      </w:hyperlink>
    </w:p>
    <w:bookmarkEnd w:id="109"/>
    <w:bookmarkStart w:id="111" w:name="ref-xz-utils:2024:CVE-2024-3094"/>
    <w:p>
      <w:pPr>
        <w:pStyle w:val="Bibliography"/>
      </w:pPr>
      <w:r>
        <w:t xml:space="preserve">[8]</w:t>
      </w:r>
      <w:r>
        <w:t xml:space="preserve"> </w:t>
      </w:r>
      <w:r>
        <w:t xml:space="preserve">	</w:t>
      </w:r>
      <w:r>
        <w:t xml:space="preserve">Andres Freund and Red Hat Product Security,</w:t>
      </w:r>
      <w:r>
        <w:t xml:space="preserve"> </w:t>
      </w:r>
      <w:r>
        <w:t xml:space="preserve">“</w:t>
      </w:r>
      <w:r>
        <w:t xml:space="preserve">CVE-2024-3094</w:t>
      </w:r>
      <w:r>
        <w:t xml:space="preserve">:</w:t>
      </w:r>
      <w:r>
        <w:t xml:space="preserve"> </w:t>
      </w:r>
      <w:r>
        <w:t xml:space="preserve">xz-utils</w:t>
      </w:r>
      <w:r>
        <w:t xml:space="preserve"> </w:t>
      </w:r>
      <w:r>
        <w:t xml:space="preserve">backdoor.”</w:t>
      </w:r>
      <w:r>
        <w:t xml:space="preserve"> </w:t>
      </w:r>
      <w:r>
        <w:t xml:space="preserve">2024. Available:</w:t>
      </w:r>
      <w:r>
        <w:t xml:space="preserve"> </w:t>
      </w:r>
      <w:hyperlink r:id="rId110">
        <w:r>
          <w:rPr>
            <w:rStyle w:val="Hyperlink"/>
          </w:rPr>
          <w:t xml:space="preserve">https://nvd.nist.gov/vuln/detail/CVE-2024-3094</w:t>
        </w:r>
      </w:hyperlink>
    </w:p>
    <w:bookmarkEnd w:id="111"/>
    <w:bookmarkStart w:id="113" w:name="ref-Shai-Hulud:2025:npm-worm"/>
    <w:p>
      <w:pPr>
        <w:pStyle w:val="Bibliography"/>
      </w:pPr>
      <w:r>
        <w:t xml:space="preserve">[9]</w:t>
      </w:r>
      <w:r>
        <w:t xml:space="preserve"> </w:t>
      </w:r>
      <w:r>
        <w:t xml:space="preserve">	</w:t>
      </w:r>
      <w:r>
        <w:t xml:space="preserve">Cybersecurity and Infrastructure Security Agency (CISA),</w:t>
      </w:r>
      <w:r>
        <w:t xml:space="preserve"> </w:t>
      </w:r>
      <w:r>
        <w:t xml:space="preserve">“Widespread supply chain compromise impacting the npm ecosystem (shai-hulud self-propagating worm).”</w:t>
      </w:r>
      <w:r>
        <w:t xml:space="preserve"> </w:t>
      </w:r>
      <w:r>
        <w:t xml:space="preserve">CISA Alert, 23 Sept. 2025, 2025. Available:</w:t>
      </w:r>
      <w:r>
        <w:t xml:space="preserve"> </w:t>
      </w:r>
      <w:hyperlink r:id="rId112">
        <w:r>
          <w:rPr>
            <w:rStyle w:val="Hyperlink"/>
          </w:rPr>
          <w:t xml:space="preserve">https://www.cisa.gov/news-events/alerts/2025/09/23/widespread-supply-chain-compromise-impacting-npm-ecosystem</w:t>
        </w:r>
      </w:hyperlink>
    </w:p>
    <w:bookmarkEnd w:id="113"/>
    <w:bookmarkStart w:id="115" w:name="ref-primitivehub:2026:top10"/>
    <w:p>
      <w:pPr>
        <w:pStyle w:val="Bibliography"/>
      </w:pPr>
      <w:r>
        <w:t xml:space="preserve">[10]</w:t>
      </w:r>
      <w:r>
        <w:t xml:space="preserve"> </w:t>
      </w:r>
      <w:r>
        <w:t xml:space="preserve">	</w:t>
      </w:r>
      <w:r>
        <w:t xml:space="preserve">PrimitiveHub Maintainers,</w:t>
      </w:r>
      <w:r>
        <w:t xml:space="preserve"> </w:t>
      </w:r>
      <w:r>
        <w:t xml:space="preserve">“Context</w:t>
      </w:r>
      <w:r>
        <w:t xml:space="preserve"> </w:t>
      </w:r>
      <w:r>
        <w:t xml:space="preserve">CI</w:t>
      </w:r>
      <w:r>
        <w:t xml:space="preserve"> </w:t>
      </w:r>
      <w:r>
        <w:t xml:space="preserve">top 10: A corpus-mapped taxonomy of agent-context supply-chain attacks.”</w:t>
      </w:r>
      <w:r>
        <w:t xml:space="preserve"> </w:t>
      </w:r>
      <w:hyperlink r:id="rId114">
        <w:r>
          <w:rPr>
            <w:rStyle w:val="Hyperlink"/>
          </w:rPr>
          <w:t xml:space="preserve">docs/top10-corpus-map.md</w:t>
        </w:r>
      </w:hyperlink>
      <w:r>
        <w:t xml:space="preserve"> </w:t>
      </w:r>
      <w:r>
        <w:t xml:space="preserve">in the project repository, 2026.</w:t>
      </w:r>
    </w:p>
    <w:bookmarkEnd w:id="115"/>
    <w:bookmarkStart w:id="116" w:name="ref-Wallace:2024:instruction-hierarchy"/>
    <w:p>
      <w:pPr>
        <w:pStyle w:val="Bibliography"/>
      </w:pPr>
      <w:r>
        <w:t xml:space="preserve">[11]</w:t>
      </w:r>
      <w:r>
        <w:t xml:space="preserve"> </w:t>
      </w:r>
      <w:r>
        <w:t xml:space="preserve">	</w:t>
      </w:r>
      <w:r>
        <w:t xml:space="preserve">E. Wallace, K. Xiao, R. Leike, L. Weng, J. Heidecke, and A. Beutel,</w:t>
      </w:r>
      <w:r>
        <w:t xml:space="preserve"> </w:t>
      </w:r>
      <w:r>
        <w:t xml:space="preserve">“The instruction hierarchy: Training</w:t>
      </w:r>
      <w:r>
        <w:t xml:space="preserve"> </w:t>
      </w:r>
      <w:r>
        <w:t xml:space="preserve">LLMs</w:t>
      </w:r>
      <w:r>
        <w:t xml:space="preserve"> </w:t>
      </w:r>
      <w:r>
        <w:t xml:space="preserve">to prioritize privileged instructions,”</w:t>
      </w:r>
      <w:r>
        <w:t xml:space="preserve"> </w:t>
      </w:r>
      <w:r>
        <w:rPr>
          <w:i/>
          <w:iCs/>
        </w:rPr>
        <w:t xml:space="preserve">arXiv preprint arXiv:2404.13208</w:t>
      </w:r>
      <w:r>
        <w:t xml:space="preserve">, 2024.</w:t>
      </w:r>
    </w:p>
    <w:bookmarkEnd w:id="116"/>
    <w:bookmarkStart w:id="117" w:name="Xea739d1f7d7fcf9918479fbe9c4bf4c141e8be7"/>
    <w:p>
      <w:pPr>
        <w:pStyle w:val="Bibliography"/>
      </w:pPr>
      <w:r>
        <w:t xml:space="preserve">[12]</w:t>
      </w:r>
      <w:r>
        <w:t xml:space="preserve"> </w:t>
      </w:r>
      <w:r>
        <w:t xml:space="preserve">	</w:t>
      </w:r>
      <w:r>
        <w:t xml:space="preserve">K. Greshake, S. Abdelnabi, S. Mishra, C. Endres, T. Holz, and M. Fritz,</w:t>
      </w:r>
      <w:r>
        <w:t xml:space="preserve"> </w:t>
      </w:r>
      <w:r>
        <w:t xml:space="preserve">“Not what you’ve signed up for: Compromising real-world</w:t>
      </w:r>
      <w:r>
        <w:t xml:space="preserve"> </w:t>
      </w:r>
      <w:r>
        <w:t xml:space="preserve">LLM</w:t>
      </w:r>
      <w:r>
        <w:t xml:space="preserve">-integrated applications with indirect prompt injection,”</w:t>
      </w:r>
      <w:r>
        <w:t xml:space="preserve"> </w:t>
      </w:r>
      <w:r>
        <w:rPr>
          <w:i/>
          <w:iCs/>
        </w:rPr>
        <w:t xml:space="preserve">arXiv preprint arXiv:2302.12173</w:t>
      </w:r>
      <w:r>
        <w:t xml:space="preserve">, 2023.</w:t>
      </w:r>
    </w:p>
    <w:bookmarkEnd w:id="117"/>
    <w:bookmarkStart w:id="118" w:name="ref-Carlini:2024:webcrawl-poisoning"/>
    <w:p>
      <w:pPr>
        <w:pStyle w:val="Bibliography"/>
      </w:pPr>
      <w:r>
        <w:t xml:space="preserve">[13]</w:t>
      </w:r>
      <w:r>
        <w:t xml:space="preserve"> </w:t>
      </w:r>
      <w:r>
        <w:t xml:space="preserve">	</w:t>
      </w:r>
      <w:r>
        <w:t xml:space="preserve">N. Carlini</w:t>
      </w:r>
      <w:r>
        <w:t xml:space="preserve"> </w:t>
      </w:r>
      <w:r>
        <w:rPr>
          <w:i/>
          <w:iCs/>
        </w:rPr>
        <w:t xml:space="preserve">et al.</w:t>
      </w:r>
      <w:r>
        <w:t xml:space="preserve">,</w:t>
      </w:r>
      <w:r>
        <w:t xml:space="preserve"> </w:t>
      </w:r>
      <w:r>
        <w:t xml:space="preserve">“Poisoning web-scale training datasets is practical,”</w:t>
      </w:r>
      <w:r>
        <w:t xml:space="preserve"> </w:t>
      </w:r>
      <w:r>
        <w:rPr>
          <w:i/>
          <w:iCs/>
        </w:rPr>
        <w:t xml:space="preserve">arXiv preprint arXiv:2302.10149</w:t>
      </w:r>
      <w:r>
        <w:t xml:space="preserve">, 2023.</w:t>
      </w:r>
    </w:p>
    <w:bookmarkEnd w:id="118"/>
    <w:bookmarkStart w:id="120" w:name="ref-Christodorescu:2003:static-malware"/>
    <w:p>
      <w:pPr>
        <w:pStyle w:val="Bibliography"/>
      </w:pPr>
      <w:r>
        <w:t xml:space="preserve">[14]</w:t>
      </w:r>
      <w:r>
        <w:t xml:space="preserve"> </w:t>
      </w:r>
      <w:r>
        <w:t xml:space="preserve">	</w:t>
      </w:r>
      <w:r>
        <w:t xml:space="preserve">M. Christodorescu and S. Jha,</w:t>
      </w:r>
      <w:r>
        <w:t xml:space="preserve"> </w:t>
      </w:r>
      <w:r>
        <w:t xml:space="preserve">“Static analysis of executables to detect malicious patterns,”</w:t>
      </w:r>
      <w:r>
        <w:t xml:space="preserve"> </w:t>
      </w:r>
      <w:r>
        <w:t xml:space="preserve">in</w:t>
      </w:r>
      <w:r>
        <w:t xml:space="preserve"> </w:t>
      </w:r>
      <w:r>
        <w:rPr>
          <w:i/>
          <w:iCs/>
        </w:rPr>
        <w:t xml:space="preserve">12th USENIX security symposium (USENIX security 03)</w:t>
      </w:r>
      <w:r>
        <w:t xml:space="preserve">, 2003. Available:</w:t>
      </w:r>
      <w:r>
        <w:t xml:space="preserve"> </w:t>
      </w:r>
      <w:hyperlink r:id="rId119">
        <w:r>
          <w:rPr>
            <w:rStyle w:val="Hyperlink"/>
          </w:rPr>
          <w:t xml:space="preserve">https://www.usenix.org/conference/12th-usenix-security-symposium/static-analysis-executables-detect-malicious-patterns</w:t>
        </w:r>
      </w:hyperlink>
    </w:p>
    <w:bookmarkEnd w:id="120"/>
    <w:bookmarkStart w:id="122" w:name="ref-UTS39:2024:unicode-confusables"/>
    <w:p>
      <w:pPr>
        <w:pStyle w:val="Bibliography"/>
      </w:pPr>
      <w:r>
        <w:t xml:space="preserve">[15]</w:t>
      </w:r>
      <w:r>
        <w:t xml:space="preserve"> </w:t>
      </w:r>
      <w:r>
        <w:t xml:space="preserve">	</w:t>
      </w:r>
      <w:r>
        <w:t xml:space="preserve">Unicode Consortium,</w:t>
      </w:r>
      <w:r>
        <w:t xml:space="preserve"> </w:t>
      </w:r>
      <w:r>
        <w:t xml:space="preserve">“Unicode technical standard #39: Unicode security mechanisms,”</w:t>
      </w:r>
      <w:r>
        <w:t xml:space="preserve"> </w:t>
      </w:r>
      <w:r>
        <w:t xml:space="preserve">Unicode Consortium, 2024. Available:</w:t>
      </w:r>
      <w:r>
        <w:t xml:space="preserve"> </w:t>
      </w:r>
      <w:hyperlink r:id="rId121">
        <w:r>
          <w:rPr>
            <w:rStyle w:val="Hyperlink"/>
          </w:rPr>
          <w:t xml:space="preserve">https://unicode.org/reports/tr39/</w:t>
        </w:r>
      </w:hyperlink>
    </w:p>
    <w:bookmarkEnd w:id="122"/>
    <w:bookmarkStart w:id="124" w:name="ref-OWASP:2025:llm-top10"/>
    <w:p>
      <w:pPr>
        <w:pStyle w:val="Bibliography"/>
      </w:pPr>
      <w:r>
        <w:t xml:space="preserve">[16]</w:t>
      </w:r>
      <w:r>
        <w:t xml:space="preserve"> </w:t>
      </w:r>
      <w:r>
        <w:t xml:space="preserve">	</w:t>
      </w:r>
      <w:r>
        <w:t xml:space="preserve">OWASP Foundation,</w:t>
      </w:r>
      <w:r>
        <w:t xml:space="preserve"> </w:t>
      </w:r>
      <w:r>
        <w:t xml:space="preserve">“</w:t>
      </w:r>
      <w:r>
        <w:t xml:space="preserve">OWASP</w:t>
      </w:r>
      <w:r>
        <w:t xml:space="preserve"> </w:t>
      </w:r>
      <w:r>
        <w:t xml:space="preserve">top 10 for large language model applications (</w:t>
      </w:r>
      <w:r>
        <w:t xml:space="preserve">2025 Edition</w:t>
      </w:r>
      <w:r>
        <w:t xml:space="preserve">).”</w:t>
      </w:r>
      <w:r>
        <w:t xml:space="preserve"> </w:t>
      </w:r>
      <w:r>
        <w:t xml:space="preserve">2025. Available:</w:t>
      </w:r>
      <w:r>
        <w:t xml:space="preserve"> </w:t>
      </w:r>
      <w:hyperlink r:id="rId123">
        <w:r>
          <w:rPr>
            <w:rStyle w:val="Hyperlink"/>
          </w:rPr>
          <w:t xml:space="preserve">https://owasp.org/www-project-top-10-for-large-language-model-applications/</w:t>
        </w:r>
      </w:hyperlink>
    </w:p>
    <w:bookmarkEnd w:id="124"/>
    <w:bookmarkStart w:id="126" w:name="ref-primitivehub:2026:trust-contract"/>
    <w:p>
      <w:pPr>
        <w:pStyle w:val="Bibliography"/>
      </w:pPr>
      <w:r>
        <w:t xml:space="preserve">[17]</w:t>
      </w:r>
      <w:r>
        <w:t xml:space="preserve"> </w:t>
      </w:r>
      <w:r>
        <w:t xml:space="preserve">	</w:t>
      </w:r>
      <w:r>
        <w:t xml:space="preserve">PrimitiveHub Maintainers,</w:t>
      </w:r>
      <w:r>
        <w:t xml:space="preserve"> </w:t>
      </w:r>
      <w:r>
        <w:t xml:space="preserve">“Primitive spec v0.1: Trust bundle wire format and attestation predicate.”</w:t>
      </w:r>
      <w:r>
        <w:t xml:space="preserve"> </w:t>
      </w:r>
      <w:hyperlink r:id="rId125">
        <w:r>
          <w:rPr>
            <w:rStyle w:val="Hyperlink"/>
          </w:rPr>
          <w:t xml:space="preserve">docs/spec.md</w:t>
        </w:r>
      </w:hyperlink>
      <w:r>
        <w:t xml:space="preserve"> </w:t>
      </w:r>
      <w:r>
        <w:t xml:space="preserve">in the project repository, 2026.</w:t>
      </w:r>
    </w:p>
    <w:bookmarkEnd w:id="126"/>
    <w:bookmarkStart w:id="128" w:name="ref-primitivehub:2026:adr-0023"/>
    <w:p>
      <w:pPr>
        <w:pStyle w:val="Bibliography"/>
      </w:pPr>
      <w:r>
        <w:t xml:space="preserve">[18]</w:t>
      </w:r>
      <w:r>
        <w:t xml:space="preserve"> </w:t>
      </w:r>
      <w:r>
        <w:t xml:space="preserve">	</w:t>
      </w:r>
      <w:r>
        <w:t xml:space="preserve">PrimitiveHub Maintainers,</w:t>
      </w:r>
      <w:r>
        <w:t xml:space="preserve"> </w:t>
      </w:r>
      <w:r>
        <w:t xml:space="preserve">“ADR-0023: Cross-language detector parity.”</w:t>
      </w:r>
      <w:r>
        <w:t xml:space="preserve"> </w:t>
      </w:r>
      <w:hyperlink r:id="rId127">
        <w:r>
          <w:rPr>
            <w:rStyle w:val="Hyperlink"/>
          </w:rPr>
          <w:t xml:space="preserve">docs/decisions/0023-phub-cli-and-detector-parity.md</w:t>
        </w:r>
      </w:hyperlink>
      <w:r>
        <w:t xml:space="preserve"> </w:t>
      </w:r>
      <w:r>
        <w:t xml:space="preserve">in the project repository, 2026.</w:t>
      </w:r>
    </w:p>
    <w:bookmarkEnd w:id="128"/>
    <w:bookmarkStart w:id="130" w:name="ref-CommonMark:2024:spec"/>
    <w:p>
      <w:pPr>
        <w:pStyle w:val="Bibliography"/>
      </w:pPr>
      <w:r>
        <w:t xml:space="preserve">[19]</w:t>
      </w:r>
      <w:r>
        <w:t xml:space="preserve"> </w:t>
      </w:r>
      <w:r>
        <w:t xml:space="preserve">	</w:t>
      </w:r>
      <w:r>
        <w:t xml:space="preserve">John MacFarlane and contributors,</w:t>
      </w:r>
      <w:r>
        <w:t xml:space="preserve"> </w:t>
      </w:r>
      <w:r>
        <w:t xml:space="preserve">“</w:t>
      </w:r>
      <w:r>
        <w:t xml:space="preserve">CommonMark</w:t>
      </w:r>
      <w:r>
        <w:t xml:space="preserve"> </w:t>
      </w:r>
      <w:r>
        <w:t xml:space="preserve">specification.”</w:t>
      </w:r>
      <w:r>
        <w:t xml:space="preserve"> </w:t>
      </w:r>
      <w:r>
        <w:t xml:space="preserve">2024. Available:</w:t>
      </w:r>
      <w:r>
        <w:t xml:space="preserve"> </w:t>
      </w:r>
      <w:hyperlink r:id="rId129">
        <w:r>
          <w:rPr>
            <w:rStyle w:val="Hyperlink"/>
          </w:rPr>
          <w:t xml:space="preserve">https://spec.commonmark.org/</w:t>
        </w:r>
      </w:hyperlink>
    </w:p>
    <w:bookmarkEnd w:id="130"/>
    <w:bookmarkStart w:id="132" w:name="ref-primitivehub:2026:adr-0036"/>
    <w:p>
      <w:pPr>
        <w:pStyle w:val="Bibliography"/>
      </w:pPr>
      <w:r>
        <w:t xml:space="preserve">[20]</w:t>
      </w:r>
      <w:r>
        <w:t xml:space="preserve"> </w:t>
      </w:r>
      <w:r>
        <w:t xml:space="preserve">	</w:t>
      </w:r>
      <w:r>
        <w:t xml:space="preserve">PrimitiveHub Maintainers,</w:t>
      </w:r>
      <w:r>
        <w:t xml:space="preserve"> </w:t>
      </w:r>
      <w:r>
        <w:t xml:space="preserve">“ADR-0036: Semantic-context awareness v0.2.2.”</w:t>
      </w:r>
      <w:r>
        <w:t xml:space="preserve"> </w:t>
      </w:r>
      <w:hyperlink r:id="rId131">
        <w:r>
          <w:rPr>
            <w:rStyle w:val="Hyperlink"/>
          </w:rPr>
          <w:t xml:space="preserve">docs/decisions/0036-semantic-context-awareness-v0_2_2.md</w:t>
        </w:r>
      </w:hyperlink>
      <w:r>
        <w:t xml:space="preserve"> </w:t>
      </w:r>
      <w:r>
        <w:t xml:space="preserve">in the project repository, 2026.</w:t>
      </w:r>
    </w:p>
    <w:bookmarkEnd w:id="132"/>
    <w:bookmarkStart w:id="134" w:name="ref-primitivehub:2026:eval"/>
    <w:p>
      <w:pPr>
        <w:pStyle w:val="Bibliography"/>
      </w:pPr>
      <w:r>
        <w:t xml:space="preserve">[21]</w:t>
      </w:r>
      <w:r>
        <w:t xml:space="preserve"> </w:t>
      </w:r>
      <w:r>
        <w:t xml:space="preserve">	</w:t>
      </w:r>
      <w:r>
        <w:t xml:space="preserve">PrimitiveHub Maintainers,</w:t>
      </w:r>
      <w:r>
        <w:t xml:space="preserve"> </w:t>
      </w:r>
      <w:r>
        <w:t xml:space="preserve">“PrimitiveHub evaluation scoreboard.”</w:t>
      </w:r>
      <w:r>
        <w:t xml:space="preserve"> </w:t>
      </w:r>
      <w:hyperlink r:id="rId133">
        <w:r>
          <w:rPr>
            <w:rStyle w:val="Hyperlink"/>
          </w:rPr>
          <w:t xml:space="preserve">docs/evaluation.md</w:t>
        </w:r>
      </w:hyperlink>
      <w:r>
        <w:t xml:space="preserve"> </w:t>
      </w:r>
      <w:r>
        <w:t xml:space="preserve">in the project repository, 2026.</w:t>
      </w:r>
    </w:p>
    <w:bookmarkEnd w:id="134"/>
    <w:bookmarkStart w:id="136" w:name="ref-primitivehub:2026:paper-readme"/>
    <w:p>
      <w:pPr>
        <w:pStyle w:val="Bibliography"/>
      </w:pPr>
      <w:r>
        <w:t xml:space="preserve">[22]</w:t>
      </w:r>
      <w:r>
        <w:t xml:space="preserve"> </w:t>
      </w:r>
      <w:r>
        <w:t xml:space="preserve">	</w:t>
      </w:r>
      <w:r>
        <w:t xml:space="preserve">PrimitiveHub Maintainers,</w:t>
      </w:r>
      <w:r>
        <w:t xml:space="preserve"> </w:t>
      </w:r>
      <w:r>
        <w:t xml:space="preserve">“PrimitiveHub paper authoring discipline.”</w:t>
      </w:r>
      <w:r>
        <w:t xml:space="preserve"> </w:t>
      </w:r>
      <w:hyperlink r:id="rId135">
        <w:r>
          <w:rPr>
            <w:rStyle w:val="Hyperlink"/>
          </w:rPr>
          <w:t xml:space="preserve">paper/README.md</w:t>
        </w:r>
      </w:hyperlink>
      <w:r>
        <w:t xml:space="preserve"> </w:t>
      </w:r>
      <w:r>
        <w:t xml:space="preserve">in the project repository, 2026.</w:t>
      </w:r>
    </w:p>
    <w:bookmarkEnd w:id="136"/>
    <w:bookmarkStart w:id="138" w:name="ref-primitivehub:2026:corpus-spec"/>
    <w:p>
      <w:pPr>
        <w:pStyle w:val="Bibliography"/>
      </w:pPr>
      <w:r>
        <w:t xml:space="preserve">[23]</w:t>
      </w:r>
      <w:r>
        <w:t xml:space="preserve"> </w:t>
      </w:r>
      <w:r>
        <w:t xml:space="preserve">	</w:t>
      </w:r>
      <w:r>
        <w:t xml:space="preserve">PrimitiveHub Maintainers,</w:t>
      </w:r>
      <w:r>
        <w:t xml:space="preserve"> </w:t>
      </w:r>
      <w:r>
        <w:t xml:space="preserve">“Adversarial corpus v0.1: Schema, labeling discipline, and reproducibility.”</w:t>
      </w:r>
      <w:r>
        <w:t xml:space="preserve"> </w:t>
      </w:r>
      <w:hyperlink r:id="rId137">
        <w:r>
          <w:rPr>
            <w:rStyle w:val="Hyperlink"/>
          </w:rPr>
          <w:t xml:space="preserve">docs/corpus-v0.1.md</w:t>
        </w:r>
      </w:hyperlink>
      <w:r>
        <w:t xml:space="preserve"> </w:t>
      </w:r>
      <w:r>
        <w:t xml:space="preserve">in the project repository, 2026.</w:t>
      </w:r>
    </w:p>
    <w:bookmarkEnd w:id="138"/>
    <w:bookmarkStart w:id="139" w:name="X61f2b01d2abb7c67cffcc16eb571dbd6a72fae6"/>
    <w:p>
      <w:pPr>
        <w:pStyle w:val="Bibliography"/>
      </w:pPr>
      <w:r>
        <w:t xml:space="preserve">[24]</w:t>
      </w:r>
      <w:r>
        <w:t xml:space="preserve"> </w:t>
      </w:r>
      <w:r>
        <w:t xml:space="preserve">	</w:t>
      </w:r>
      <w:r>
        <w:t xml:space="preserve">D. M. W. Powers,</w:t>
      </w:r>
      <w:r>
        <w:t xml:space="preserve"> </w:t>
      </w:r>
      <w:r>
        <w:t xml:space="preserve">“Evaluation: From precision, recall and f-measure to ROC, informedness, markedness &amp; correlation,”</w:t>
      </w:r>
      <w:r>
        <w:t xml:space="preserve"> </w:t>
      </w:r>
      <w:r>
        <w:rPr>
          <w:i/>
          <w:iCs/>
        </w:rPr>
        <w:t xml:space="preserve">Journal of Machine Learning Technologies</w:t>
      </w:r>
      <w:r>
        <w:t xml:space="preserve">, vol. 2, no. 1, pp. 37–63, 2011.</w:t>
      </w:r>
    </w:p>
    <w:bookmarkEnd w:id="139"/>
    <w:bookmarkStart w:id="141" w:name="ref-primitivehub:2026:adr-0038"/>
    <w:p>
      <w:pPr>
        <w:pStyle w:val="Bibliography"/>
      </w:pPr>
      <w:r>
        <w:t xml:space="preserve">[25]</w:t>
      </w:r>
      <w:r>
        <w:t xml:space="preserve"> </w:t>
      </w:r>
      <w:r>
        <w:t xml:space="preserve">	</w:t>
      </w:r>
      <w:r>
        <w:t xml:space="preserve">PrimitiveHub Maintainers,</w:t>
      </w:r>
      <w:r>
        <w:t xml:space="preserve"> </w:t>
      </w:r>
      <w:r>
        <w:t xml:space="preserve">“ADR-0038: Corpus v0.2 expansion and 80/20 holdout split.”</w:t>
      </w:r>
      <w:r>
        <w:t xml:space="preserve"> </w:t>
      </w:r>
      <w:hyperlink r:id="rId140">
        <w:r>
          <w:rPr>
            <w:rStyle w:val="Hyperlink"/>
          </w:rPr>
          <w:t xml:space="preserve">docs/decisions/0038-corpus-v0_2-expansion-and-holdout-split.md</w:t>
        </w:r>
      </w:hyperlink>
      <w:r>
        <w:t xml:space="preserve"> </w:t>
      </w:r>
      <w:r>
        <w:t xml:space="preserve">in the project repository, 2026.</w:t>
      </w:r>
    </w:p>
    <w:bookmarkEnd w:id="141"/>
    <w:bookmarkStart w:id="143" w:name="ref-primitivehub:2026:security"/>
    <w:p>
      <w:pPr>
        <w:pStyle w:val="Bibliography"/>
      </w:pPr>
      <w:r>
        <w:t xml:space="preserve">[26]</w:t>
      </w:r>
      <w:r>
        <w:t xml:space="preserve"> </w:t>
      </w:r>
      <w:r>
        <w:t xml:space="preserve">	</w:t>
      </w:r>
      <w:r>
        <w:t xml:space="preserve">PrimitiveHub Maintainers,</w:t>
      </w:r>
      <w:r>
        <w:t xml:space="preserve"> </w:t>
      </w:r>
      <w:r>
        <w:t xml:space="preserve">“PrimitiveHub security and responsible disclosure.”</w:t>
      </w:r>
      <w:r>
        <w:t xml:space="preserve"> </w:t>
      </w:r>
      <w:hyperlink r:id="rId142">
        <w:r>
          <w:rPr>
            <w:rStyle w:val="Hyperlink"/>
          </w:rPr>
          <w:t xml:space="preserve">SECURITY.md</w:t>
        </w:r>
      </w:hyperlink>
      <w:r>
        <w:t xml:space="preserve"> </w:t>
      </w:r>
      <w:r>
        <w:t xml:space="preserve">in the project repository, 2026.</w:t>
      </w:r>
    </w:p>
    <w:bookmarkEnd w:id="143"/>
    <w:bookmarkStart w:id="144" w:name="ref-Perez:2022:ignore-previous-prompt"/>
    <w:p>
      <w:pPr>
        <w:pStyle w:val="Bibliography"/>
      </w:pPr>
      <w:r>
        <w:t xml:space="preserve">[27]</w:t>
      </w:r>
      <w:r>
        <w:t xml:space="preserve"> </w:t>
      </w:r>
      <w:r>
        <w:t xml:space="preserve">	</w:t>
      </w:r>
      <w:r>
        <w:t xml:space="preserve">F. Perez and I. Ribeiro,</w:t>
      </w:r>
      <w:r>
        <w:t xml:space="preserve"> </w:t>
      </w:r>
      <w:r>
        <w:t xml:space="preserve">“Ignore previous prompt: Attack techniques for language models,”</w:t>
      </w:r>
      <w:r>
        <w:t xml:space="preserve"> </w:t>
      </w:r>
      <w:r>
        <w:t xml:space="preserve">in</w:t>
      </w:r>
      <w:r>
        <w:t xml:space="preserve"> </w:t>
      </w:r>
      <w:r>
        <w:rPr>
          <w:i/>
          <w:iCs/>
        </w:rPr>
        <w:t xml:space="preserve">NeurIPS workshop on ML safety</w:t>
      </w:r>
      <w:r>
        <w:t xml:space="preserve">, 2022.</w:t>
      </w:r>
    </w:p>
    <w:bookmarkEnd w:id="144"/>
    <w:bookmarkStart w:id="146" w:name="ref-Alvarez:2014:yara"/>
    <w:p>
      <w:pPr>
        <w:pStyle w:val="Bibliography"/>
      </w:pPr>
      <w:r>
        <w:t xml:space="preserve">[28]</w:t>
      </w:r>
      <w:r>
        <w:t xml:space="preserve"> </w:t>
      </w:r>
      <w:r>
        <w:t xml:space="preserve">	</w:t>
      </w:r>
      <w:r>
        <w:t xml:space="preserve">V. M. Alvarez,</w:t>
      </w:r>
      <w:r>
        <w:t xml:space="preserve"> </w:t>
      </w:r>
      <w:r>
        <w:t xml:space="preserve">“</w:t>
      </w:r>
      <w:r>
        <w:t xml:space="preserve">YARA</w:t>
      </w:r>
      <w:r>
        <w:t xml:space="preserve">: The pattern matching swiss knife for malware researchers.”</w:t>
      </w:r>
      <w:r>
        <w:t xml:space="preserve"> </w:t>
      </w:r>
      <w:r>
        <w:t xml:space="preserve">VirusTotal, 2014. Available:</w:t>
      </w:r>
      <w:r>
        <w:t xml:space="preserve"> </w:t>
      </w:r>
      <w:hyperlink r:id="rId145">
        <w:r>
          <w:rPr>
            <w:rStyle w:val="Hyperlink"/>
          </w:rPr>
          <w:t xml:space="preserve">https://virustotal.github.io/yara/</w:t>
        </w:r>
      </w:hyperlink>
    </w:p>
    <w:bookmarkEnd w:id="146"/>
    <w:bookmarkStart w:id="148" w:name="ref-Gabrilovich:2002:homograph"/>
    <w:p>
      <w:pPr>
        <w:pStyle w:val="Bibliography"/>
      </w:pPr>
      <w:r>
        <w:t xml:space="preserve">[29]</w:t>
      </w:r>
      <w:r>
        <w:t xml:space="preserve"> </w:t>
      </w:r>
      <w:r>
        <w:t xml:space="preserve">	</w:t>
      </w:r>
      <w:r>
        <w:t xml:space="preserve">E. Gabrilovich and A. Gontmakher,</w:t>
      </w:r>
      <w:r>
        <w:t xml:space="preserve"> </w:t>
      </w:r>
      <w:r>
        <w:t xml:space="preserve">“The homograph attack,”</w:t>
      </w:r>
      <w:r>
        <w:t xml:space="preserve"> </w:t>
      </w:r>
      <w:r>
        <w:rPr>
          <w:i/>
          <w:iCs/>
        </w:rPr>
        <w:t xml:space="preserve">Communications of the ACM</w:t>
      </w:r>
      <w:r>
        <w:t xml:space="preserve">, vol. 45, no. 2, 2002, doi:</w:t>
      </w:r>
      <w:r>
        <w:t xml:space="preserve"> </w:t>
      </w:r>
      <w:hyperlink r:id="rId147">
        <w:r>
          <w:rPr>
            <w:rStyle w:val="Hyperlink"/>
          </w:rPr>
          <w:t xml:space="preserve">10.1145/503124.503156</w:t>
        </w:r>
      </w:hyperlink>
      <w:r>
        <w:t xml:space="preserve">.</w:t>
      </w:r>
    </w:p>
    <w:bookmarkEnd w:id="148"/>
    <w:bookmarkStart w:id="149" w:name="ref-Kohavi:1995:cross-validation"/>
    <w:p>
      <w:pPr>
        <w:pStyle w:val="Bibliography"/>
      </w:pPr>
      <w:r>
        <w:t xml:space="preserve">[30]</w:t>
      </w:r>
      <w:r>
        <w:t xml:space="preserve"> </w:t>
      </w:r>
      <w:r>
        <w:t xml:space="preserve">	</w:t>
      </w:r>
      <w:r>
        <w:t xml:space="preserve">R. Kohavi,</w:t>
      </w:r>
      <w:r>
        <w:t xml:space="preserve"> </w:t>
      </w:r>
      <w:r>
        <w:t xml:space="preserve">“A study of cross-validation and bootstrap for accuracy estimation and model selection,”</w:t>
      </w:r>
      <w:r>
        <w:t xml:space="preserve"> </w:t>
      </w:r>
      <w:r>
        <w:t xml:space="preserve">in</w:t>
      </w:r>
      <w:r>
        <w:t xml:space="preserve"> </w:t>
      </w:r>
      <w:r>
        <w:rPr>
          <w:i/>
          <w:iCs/>
        </w:rPr>
        <w:t xml:space="preserve">Proceedings of the 14th international joint conference on artificial intelligence (IJCAI)</w:t>
      </w:r>
      <w:r>
        <w:t xml:space="preserve">, Morgan Kaufmann, 1995, pp. 1137–1143.</w:t>
      </w:r>
    </w:p>
    <w:bookmarkEnd w:id="149"/>
    <w:bookmarkStart w:id="151" w:name="ref-MITRE:CVE:1999:taxonomy"/>
    <w:p>
      <w:pPr>
        <w:pStyle w:val="Bibliography"/>
      </w:pPr>
      <w:r>
        <w:t xml:space="preserve">[31]</w:t>
      </w:r>
      <w:r>
        <w:t xml:space="preserve"> </w:t>
      </w:r>
      <w:r>
        <w:t xml:space="preserve">	</w:t>
      </w:r>
      <w:r>
        <w:t xml:space="preserve">MITRE Corporation,</w:t>
      </w:r>
      <w:r>
        <w:t xml:space="preserve"> </w:t>
      </w:r>
      <w:r>
        <w:t xml:space="preserve">“Common vulnerabilities and exposures (</w:t>
      </w:r>
      <w:r>
        <w:t xml:space="preserve">CVE</w:t>
      </w:r>
      <w:r>
        <w:t xml:space="preserve">).”</w:t>
      </w:r>
      <w:r>
        <w:t xml:space="preserve"> </w:t>
      </w:r>
      <w:r>
        <w:t xml:space="preserve">1999. Available:</w:t>
      </w:r>
      <w:r>
        <w:t xml:space="preserve"> </w:t>
      </w:r>
      <w:hyperlink r:id="rId150">
        <w:r>
          <w:rPr>
            <w:rStyle w:val="Hyperlink"/>
          </w:rPr>
          <w:t xml:space="preserve">https://cve.mitre.org/</w:t>
        </w:r>
      </w:hyperlink>
    </w:p>
    <w:bookmarkEnd w:id="151"/>
    <w:bookmarkStart w:id="153" w:name="ref-USPTO:1790:patent-system"/>
    <w:p>
      <w:pPr>
        <w:pStyle w:val="Bibliography"/>
      </w:pPr>
      <w:r>
        <w:t xml:space="preserve">[32]</w:t>
      </w:r>
      <w:r>
        <w:t xml:space="preserve"> </w:t>
      </w:r>
      <w:r>
        <w:t xml:space="preserve">	</w:t>
      </w:r>
      <w:r>
        <w:t xml:space="preserve">U.S. Patent and Trademark Office,</w:t>
      </w:r>
      <w:r>
        <w:t xml:space="preserve"> </w:t>
      </w:r>
      <w:r>
        <w:t xml:space="preserve">“United states patent and trademark office: Patent issuance records (1790–present).”</w:t>
      </w:r>
      <w:r>
        <w:t xml:space="preserve"> </w:t>
      </w:r>
      <w:r>
        <w:t xml:space="preserve">1790. Available:</w:t>
      </w:r>
      <w:r>
        <w:t xml:space="preserve"> </w:t>
      </w:r>
      <w:hyperlink r:id="rId152">
        <w:r>
          <w:rPr>
            <w:rStyle w:val="Hyperlink"/>
          </w:rPr>
          <w:t xml:space="preserve">https://patents.uspto.gov/</w:t>
        </w:r>
      </w:hyperlink>
    </w:p>
    <w:bookmarkEnd w:id="153"/>
    <w:bookmarkStart w:id="154" w:name="ref-primitivehub:2026:eval-limitations"/>
    <w:p>
      <w:pPr>
        <w:pStyle w:val="Bibliography"/>
      </w:pPr>
      <w:r>
        <w:t xml:space="preserve">[33]</w:t>
      </w:r>
      <w:r>
        <w:t xml:space="preserve"> </w:t>
      </w:r>
      <w:r>
        <w:t xml:space="preserve">	</w:t>
      </w:r>
      <w:r>
        <w:t xml:space="preserve">PrimitiveHub Maintainers,</w:t>
      </w:r>
      <w:r>
        <w:t xml:space="preserve"> </w:t>
      </w:r>
      <w:r>
        <w:t xml:space="preserve">“Evaluation limitations.”</w:t>
      </w:r>
      <w:r>
        <w:t xml:space="preserve"> </w:t>
      </w:r>
      <w:r>
        <w:rPr>
          <w:rStyle w:val="VerbatimChar"/>
        </w:rPr>
        <w:t xml:space="preserve">docs/evaluation.md §Limitations</w:t>
      </w:r>
      <w:r>
        <w:t xml:space="preserve"> </w:t>
      </w:r>
      <w:r>
        <w:t xml:space="preserve">in the project repository, 2026.</w:t>
      </w:r>
    </w:p>
    <w:bookmarkEnd w:id="154"/>
    <w:bookmarkEnd w:id="155"/>
    <w:bookmarkEnd w:id="156"/>
    <w:bookmarkEnd w:id="1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2" Target="SECURITY.md" TargetMode="External" /><Relationship Type="http://schemas.openxmlformats.org/officeDocument/2006/relationships/hyperlink" Id="rId137" Target="docs/corpus-v0.1.md" TargetMode="External" /><Relationship Type="http://schemas.openxmlformats.org/officeDocument/2006/relationships/hyperlink" Id="rId127" Target="docs/decisions/0023-phub-cli-and-detector-parity.md" TargetMode="External" /><Relationship Type="http://schemas.openxmlformats.org/officeDocument/2006/relationships/hyperlink" Id="rId131" Target="docs/decisions/0036-semantic-context-awareness-v0_2_2.md" TargetMode="External" /><Relationship Type="http://schemas.openxmlformats.org/officeDocument/2006/relationships/hyperlink" Id="rId140" Target="docs/decisions/0038-corpus-v0_2-expansion-and-holdout-split.md" TargetMode="External" /><Relationship Type="http://schemas.openxmlformats.org/officeDocument/2006/relationships/hyperlink" Id="rId133" Target="docs/evaluation.md" TargetMode="External" /><Relationship Type="http://schemas.openxmlformats.org/officeDocument/2006/relationships/hyperlink" Id="rId125" Target="docs/spec.md" TargetMode="External" /><Relationship Type="http://schemas.openxmlformats.org/officeDocument/2006/relationships/hyperlink" Id="rId114" Target="docs/top10-corpus-map.md" TargetMode="External" /><Relationship Type="http://schemas.openxmlformats.org/officeDocument/2006/relationships/hyperlink" Id="rId80" Target="https://attacker.example.com/extra-context.txt" TargetMode="External" /><Relationship Type="http://schemas.openxmlformats.org/officeDocument/2006/relationships/hyperlink" Id="rId150" Target="https://cve.mitre.org/" TargetMode="External" /><Relationship Type="http://schemas.openxmlformats.org/officeDocument/2006/relationships/hyperlink" Id="rId103" Target="https://doi.org/10.1145/3548606.3560596" TargetMode="External" /><Relationship Type="http://schemas.openxmlformats.org/officeDocument/2006/relationships/hyperlink" Id="rId147" Target="https://doi.org/10.1145/503124.503156" TargetMode="External" /><Relationship Type="http://schemas.openxmlformats.org/officeDocument/2006/relationships/hyperlink" Id="rId108" Target="https://github.com/advisories/GHSA-f29h-pxvx-f335" TargetMode="External" /><Relationship Type="http://schemas.openxmlformats.org/officeDocument/2006/relationships/hyperlink" Id="rId110" Target="https://nvd.nist.gov/vuln/detail/CVE-2024-3094" TargetMode="External" /><Relationship Type="http://schemas.openxmlformats.org/officeDocument/2006/relationships/hyperlink" Id="rId123" Target="https://owasp.org/www-project-top-10-for-large-language-model-applications/" TargetMode="External" /><Relationship Type="http://schemas.openxmlformats.org/officeDocument/2006/relationships/hyperlink" Id="rId152" Target="https://patents.uspto.gov/" TargetMode="External" /><Relationship Type="http://schemas.openxmlformats.org/officeDocument/2006/relationships/hyperlink" Id="rId100" Target="https://slsa.dev/" TargetMode="External" /><Relationship Type="http://schemas.openxmlformats.org/officeDocument/2006/relationships/hyperlink" Id="rId129" Target="https://spec.commonmark.org/" TargetMode="External" /><Relationship Type="http://schemas.openxmlformats.org/officeDocument/2006/relationships/hyperlink" Id="rId121" Target="https://unicode.org/reports/tr39/" TargetMode="External" /><Relationship Type="http://schemas.openxmlformats.org/officeDocument/2006/relationships/hyperlink" Id="rId145" Target="https://virustotal.github.io/yara/" TargetMode="External" /><Relationship Type="http://schemas.openxmlformats.org/officeDocument/2006/relationships/hyperlink" Id="rId112" Target="https://www.cisa.gov/news-events/alerts/2025/09/23/widespread-supply-chain-compromise-impacting-npm-ecosystem" TargetMode="External" /><Relationship Type="http://schemas.openxmlformats.org/officeDocument/2006/relationships/hyperlink" Id="rId119" Target="https://www.usenix.org/conference/12th-usenix-security-symposium/static-analysis-executables-detect-malicious-patterns" TargetMode="External" /><Relationship Type="http://schemas.openxmlformats.org/officeDocument/2006/relationships/hyperlink" Id="rId135" Target="paper/README.md" TargetMode="External" /></Relationships>
</file>

<file path=word/_rels/footnotes.xml.rels><?xml version="1.0" encoding="UTF-8"?><Relationships xmlns="http://schemas.openxmlformats.org/package/2006/relationships"><Relationship Type="http://schemas.openxmlformats.org/officeDocument/2006/relationships/hyperlink" Id="rId142" Target="SECURITY.md" TargetMode="External" /><Relationship Type="http://schemas.openxmlformats.org/officeDocument/2006/relationships/hyperlink" Id="rId137" Target="docs/corpus-v0.1.md" TargetMode="External" /><Relationship Type="http://schemas.openxmlformats.org/officeDocument/2006/relationships/hyperlink" Id="rId127" Target="docs/decisions/0023-phub-cli-and-detector-parity.md" TargetMode="External" /><Relationship Type="http://schemas.openxmlformats.org/officeDocument/2006/relationships/hyperlink" Id="rId131" Target="docs/decisions/0036-semantic-context-awareness-v0_2_2.md" TargetMode="External" /><Relationship Type="http://schemas.openxmlformats.org/officeDocument/2006/relationships/hyperlink" Id="rId140" Target="docs/decisions/0038-corpus-v0_2-expansion-and-holdout-split.md" TargetMode="External" /><Relationship Type="http://schemas.openxmlformats.org/officeDocument/2006/relationships/hyperlink" Id="rId133" Target="docs/evaluation.md" TargetMode="External" /><Relationship Type="http://schemas.openxmlformats.org/officeDocument/2006/relationships/hyperlink" Id="rId125" Target="docs/spec.md" TargetMode="External" /><Relationship Type="http://schemas.openxmlformats.org/officeDocument/2006/relationships/hyperlink" Id="rId114" Target="docs/top10-corpus-map.md" TargetMode="External" /><Relationship Type="http://schemas.openxmlformats.org/officeDocument/2006/relationships/hyperlink" Id="rId80" Target="https://attacker.example.com/extra-context.txt" TargetMode="External" /><Relationship Type="http://schemas.openxmlformats.org/officeDocument/2006/relationships/hyperlink" Id="rId150" Target="https://cve.mitre.org/" TargetMode="External" /><Relationship Type="http://schemas.openxmlformats.org/officeDocument/2006/relationships/hyperlink" Id="rId103" Target="https://doi.org/10.1145/3548606.3560596" TargetMode="External" /><Relationship Type="http://schemas.openxmlformats.org/officeDocument/2006/relationships/hyperlink" Id="rId147" Target="https://doi.org/10.1145/503124.503156" TargetMode="External" /><Relationship Type="http://schemas.openxmlformats.org/officeDocument/2006/relationships/hyperlink" Id="rId108" Target="https://github.com/advisories/GHSA-f29h-pxvx-f335" TargetMode="External" /><Relationship Type="http://schemas.openxmlformats.org/officeDocument/2006/relationships/hyperlink" Id="rId110" Target="https://nvd.nist.gov/vuln/detail/CVE-2024-3094" TargetMode="External" /><Relationship Type="http://schemas.openxmlformats.org/officeDocument/2006/relationships/hyperlink" Id="rId123" Target="https://owasp.org/www-project-top-10-for-large-language-model-applications/" TargetMode="External" /><Relationship Type="http://schemas.openxmlformats.org/officeDocument/2006/relationships/hyperlink" Id="rId152" Target="https://patents.uspto.gov/" TargetMode="External" /><Relationship Type="http://schemas.openxmlformats.org/officeDocument/2006/relationships/hyperlink" Id="rId100" Target="https://slsa.dev/" TargetMode="External" /><Relationship Type="http://schemas.openxmlformats.org/officeDocument/2006/relationships/hyperlink" Id="rId129" Target="https://spec.commonmark.org/" TargetMode="External" /><Relationship Type="http://schemas.openxmlformats.org/officeDocument/2006/relationships/hyperlink" Id="rId121" Target="https://unicode.org/reports/tr39/" TargetMode="External" /><Relationship Type="http://schemas.openxmlformats.org/officeDocument/2006/relationships/hyperlink" Id="rId145" Target="https://virustotal.github.io/yara/" TargetMode="External" /><Relationship Type="http://schemas.openxmlformats.org/officeDocument/2006/relationships/hyperlink" Id="rId112" Target="https://www.cisa.gov/news-events/alerts/2025/09/23/widespread-supply-chain-compromise-impacting-npm-ecosystem" TargetMode="External" /><Relationship Type="http://schemas.openxmlformats.org/officeDocument/2006/relationships/hyperlink" Id="rId119" Target="https://www.usenix.org/conference/12th-usenix-security-symposium/static-analysis-executables-detect-malicious-patterns" TargetMode="External" /><Relationship Type="http://schemas.openxmlformats.org/officeDocument/2006/relationships/hyperlink" Id="rId135" Target="paper/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 CI: A Threat Taxonomy and Static-Validation Pipeline for the Agent-Context Supply Chain</dc:title>
  <dc:creator/>
  <cp:keywords/>
  <dcterms:created xsi:type="dcterms:W3CDTF">2026-06-08T10:51:02Z</dcterms:created>
  <dcterms:modified xsi:type="dcterms:W3CDTF">2026-06-08T10:51:02Z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AI agents load a new class of supply-chain artifact: context primitives, the skills, system-prompt fragments, MCP server descriptions, and AGENTS.md files that an agent reads as instruction at load time. Established controls (SLSA, in-toto, Sigstore, package-manager provenance) verify who produced an artifact and that its bytes are unchanged since signing. None verify that the prose, once interpreted as instruction, is safe to follow. A primitive can pass every cryptographic check and still tell the agent to pipe a remote script into a shell. We present PrimitiveHub, a registry and static-analysis pipeline that adds this missing layer. The pipeline scans each primitive against a ten-category taxonomy, the Context CI Top 10, before it enters the registry. Two independent engines (Python and TypeScript) run the same detectors against a shared corpus of 124 labeled samples (99 in-sample, 25 held out), and a regression gate forbids cross-language drift on the in-sample slice. On that slice the detectors reach a macro F1 of 0.991. The held-out slice, which the gate deliberately does not optimize against, exposes a real generalization gap: the Python engine recovers all 25 held-out attacks, the TypeScript port recovers 18, for a macro recall of 0.832. We report that gap rather than tune it away: it is what a held-out overfitting diagnostic is built to surface. The corpus, detectors, gate, and a per-sample replay tool are open source and reproducible from a clean clone.</vt:lpwstr>
  </property>
  <property fmtid="{D5CDD505-2E9C-101B-9397-08002B2CF9AE}" pid="3" name="bibliography">
    <vt:lpwstr>references.bib</vt:lpwstr>
  </property>
  <property fmtid="{D5CDD505-2E9C-101B-9397-08002B2CF9AE}" pid="4" name="csl">
    <vt:lpwstr>ieee.csl</vt:lpwstr>
  </property>
</Properties>
</file>