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PONUDBA št. 016/2026</w:t>
      </w:r>
    </w:p>
    <w:p>
      <w:pPr>
        <w:spacing w:after="120"/>
      </w:pPr>
      <w:r>
        <w:t>Za razvoj spletnega portala za podporo servisnim zahtevkom za naročnika Servis Plus d.o.o.</w:t>
      </w:r>
    </w:p>
    <w:p>
      <w:pPr>
        <w:spacing w:after="120"/>
      </w:pPr>
      <w:r>
        <w:t>Murska Sobota, 28. 5. 2026</w:t>
      </w:r>
    </w:p>
    <w:p>
      <w:pPr>
        <w:pStyle w:val="Heading1"/>
      </w:pPr>
      <w:r>
        <w:t>1. Namen sodelovanja</w:t>
      </w:r>
    </w:p>
    <w:p>
      <w:pPr>
        <w:spacing w:after="120"/>
      </w:pPr>
      <w:r>
        <w:t>Namen sodelovanja je razvoj spletnega portala, ki bo naročniku omogočil preglednejše sprejemanje, obravnavo in spremljanje servisnih zahtevkov strank.</w:t>
      </w:r>
    </w:p>
    <w:p>
      <w:pPr>
        <w:spacing w:after="120"/>
      </w:pPr>
      <w:r>
        <w:t>Portal je predviden kot poslovno orodje za podporo servisni ekipi in ne kot javna marketinška spletna stran. Cilj projekta je zmanjšati ročno usklajevanje po elektronski pošti, izboljšati sledljivost zahtevkov in omogočiti hitrejši pregled statusov.</w:t>
      </w:r>
    </w:p>
    <w:p>
      <w:pPr>
        <w:pStyle w:val="Heading1"/>
      </w:pPr>
      <w:r>
        <w:t>2. Predmet ponudbe</w:t>
      </w:r>
    </w:p>
    <w:p>
      <w:pPr>
        <w:spacing w:after="120"/>
      </w:pPr>
      <w:r>
        <w:t>Predmet ponudbe je razvoj spletnega portala ORKA Service Portal za oddajo in obravnavo servisnih zahtevkov.</w:t>
      </w:r>
    </w:p>
    <w:p>
      <w:pPr>
        <w:spacing w:after="120"/>
      </w:pPr>
      <w:r>
        <w:t>Portal bo omogočal:</w:t>
      </w:r>
    </w:p>
    <w:p>
      <w:pPr>
        <w:pStyle w:val="ListBullet"/>
        <w:spacing w:after="40"/>
      </w:pPr>
      <w:r>
        <w:t>prijavo uporabnikov</w:t>
      </w:r>
    </w:p>
    <w:p>
      <w:pPr>
        <w:pStyle w:val="ListBullet"/>
        <w:spacing w:after="40"/>
      </w:pPr>
      <w:r>
        <w:t>oddajo servisnega zahtevka</w:t>
      </w:r>
    </w:p>
    <w:p>
      <w:pPr>
        <w:pStyle w:val="ListBullet"/>
        <w:spacing w:after="40"/>
      </w:pPr>
      <w:r>
        <w:t>pregled statusa zahtevkov</w:t>
      </w:r>
    </w:p>
    <w:p>
      <w:pPr>
        <w:pStyle w:val="ListBullet"/>
        <w:spacing w:after="40"/>
      </w:pPr>
      <w:r>
        <w:t>dodeljevanje zahtevkov serviserjem</w:t>
      </w:r>
    </w:p>
    <w:p>
      <w:pPr>
        <w:pStyle w:val="ListBullet"/>
        <w:spacing w:after="40"/>
      </w:pPr>
      <w:r>
        <w:t>dodajanje komentarjev in prilog</w:t>
      </w:r>
    </w:p>
    <w:p>
      <w:pPr>
        <w:pStyle w:val="ListBullet"/>
        <w:spacing w:after="40"/>
      </w:pPr>
      <w:r>
        <w:t>osnovna e-poštna obvestila</w:t>
      </w:r>
    </w:p>
    <w:p>
      <w:pPr>
        <w:pStyle w:val="ListBullet"/>
        <w:spacing w:after="40"/>
      </w:pPr>
      <w:r>
        <w:t>administracijo uporabnikov in šifrantov</w:t>
      </w:r>
    </w:p>
    <w:p>
      <w:pPr>
        <w:pStyle w:val="ListBullet"/>
        <w:spacing w:after="40"/>
      </w:pPr>
      <w:r>
        <w:t>osnovna poročila o številu in statusu zahtevkov</w:t>
      </w:r>
    </w:p>
    <w:p>
      <w:pPr>
        <w:pStyle w:val="Heading1"/>
      </w:pPr>
      <w:r>
        <w:t>3. Predvidene funkcionalnosti</w:t>
      </w:r>
    </w:p>
    <w:p>
      <w:pPr>
        <w:pStyle w:val="Heading2"/>
      </w:pPr>
      <w:r>
        <w:t>3.1 Prijava in uporabniške vloge</w:t>
      </w:r>
    </w:p>
    <w:p>
      <w:pPr>
        <w:spacing w:after="120"/>
      </w:pPr>
      <w:r>
        <w:t>Portal bo omogočal prijavo uporabnikov z uporabniškim imenom in geslom. Predvidene so tri osnovne vloge: stranka, serviser in administrator.</w:t>
      </w:r>
    </w:p>
    <w:p>
      <w:pPr>
        <w:spacing w:after="120"/>
      </w:pPr>
      <w:r>
        <w:t>Stranka vidi svoje zahtevke, serviser vidi dodeljene zahtevke, administrator pa upravlja uporabnike, šifrante in razporejanje zahtevkov.</w:t>
      </w:r>
    </w:p>
    <w:p>
      <w:pPr>
        <w:pStyle w:val="Heading2"/>
      </w:pPr>
      <w:r>
        <w:t>3.2 Oddaja servisnega zahtevka</w:t>
      </w:r>
    </w:p>
    <w:p>
      <w:pPr>
        <w:spacing w:after="120"/>
      </w:pPr>
      <w:r>
        <w:t>Uporabnik bo lahko oddal servisni zahtevek z opisom težave, izbiro tipa zahtevka, prioritete in dodajanjem prilog.</w:t>
      </w:r>
    </w:p>
    <w:p>
      <w:pPr>
        <w:spacing w:after="120"/>
      </w:pPr>
      <w:r>
        <w:t>Predvideni statusi zahtevka:</w:t>
      </w:r>
    </w:p>
    <w:p>
      <w:pPr>
        <w:pStyle w:val="ListBullet"/>
        <w:spacing w:after="40"/>
      </w:pPr>
      <w:r>
        <w:t>novo</w:t>
      </w:r>
    </w:p>
    <w:p>
      <w:pPr>
        <w:pStyle w:val="ListBullet"/>
        <w:spacing w:after="40"/>
      </w:pPr>
      <w:r>
        <w:t>v obravnavi</w:t>
      </w:r>
    </w:p>
    <w:p>
      <w:pPr>
        <w:pStyle w:val="ListBullet"/>
        <w:spacing w:after="40"/>
      </w:pPr>
      <w:r>
        <w:t>čaka na stranko</w:t>
      </w:r>
    </w:p>
    <w:p>
      <w:pPr>
        <w:pStyle w:val="ListBullet"/>
        <w:spacing w:after="40"/>
      </w:pPr>
      <w:r>
        <w:t>rešeno</w:t>
      </w:r>
    </w:p>
    <w:p>
      <w:pPr>
        <w:pStyle w:val="ListBullet"/>
        <w:spacing w:after="40"/>
      </w:pPr>
      <w:r>
        <w:t>zaprto</w:t>
      </w:r>
    </w:p>
    <w:p>
      <w:pPr>
        <w:pStyle w:val="Heading2"/>
      </w:pPr>
      <w:r>
        <w:t>3.3 Obravnava zahtevkov</w:t>
      </w:r>
    </w:p>
    <w:p>
      <w:pPr>
        <w:spacing w:after="120"/>
      </w:pPr>
      <w:r>
        <w:t>Serviser bo lahko prevzel ali prejel dodeljen zahtevek, dodal komentarje, spremenil status in evidentiral izvedene aktivnosti.</w:t>
      </w:r>
    </w:p>
    <w:p>
      <w:pPr>
        <w:pStyle w:val="Heading2"/>
      </w:pPr>
      <w:r>
        <w:t>3.4 Obvestila</w:t>
      </w:r>
    </w:p>
    <w:p>
      <w:pPr>
        <w:spacing w:after="120"/>
      </w:pPr>
      <w:r>
        <w:t>Portal bo pošiljal osnovna e-poštna obvestila ob oddaji zahtevka, spremembi statusa in zaključku obravnave.</w:t>
      </w:r>
    </w:p>
    <w:p>
      <w:pPr>
        <w:pStyle w:val="Heading2"/>
      </w:pPr>
      <w:r>
        <w:t>3.5 Poročila</w:t>
      </w:r>
    </w:p>
    <w:p>
      <w:pPr>
        <w:spacing w:after="120"/>
      </w:pPr>
      <w:r>
        <w:t>Administrator bo imel na voljo osnovni pregled števila zahtevkov po statusu, prioriteti in obdobju.</w:t>
      </w:r>
    </w:p>
    <w:p>
      <w:pPr>
        <w:pStyle w:val="Heading1"/>
      </w:pPr>
      <w:r>
        <w:t>4. Tehnična izvedba</w:t>
      </w:r>
    </w:p>
    <w:p>
      <w:pPr>
        <w:spacing w:after="120"/>
      </w:pPr>
      <w:r>
        <w:t>Predvidena tehnična izvedba:</w:t>
      </w:r>
    </w:p>
    <w:tbl>
      <w:tblPr>
        <w:tblStyle w:val="TableGrid"/>
        <w:tblW w:type="auto" w:w="0"/>
        <w:tblLook w:firstColumn="1" w:firstRow="1" w:lastColumn="0" w:lastRow="0" w:noHBand="0" w:noVBand="1" w:val="04A0"/>
      </w:tblPr>
      <w:tblGrid>
        <w:gridCol w:w="4896"/>
        <w:gridCol w:w="4896"/>
      </w:tblGrid>
      <w:tr>
        <w:tc>
          <w:tcPr>
            <w:tcW w:type="dxa" w:w="4896"/>
          </w:tcPr>
          <w:p>
            <w:r>
              <w:rPr>
                <w:b/>
              </w:rPr>
              <w:t>Področje</w:t>
            </w:r>
          </w:p>
        </w:tc>
        <w:tc>
          <w:tcPr>
            <w:tcW w:type="dxa" w:w="4896"/>
          </w:tcPr>
          <w:p>
            <w:r>
              <w:rPr>
                <w:b/>
              </w:rPr>
              <w:t>Predlagana rešitev</w:t>
            </w:r>
          </w:p>
        </w:tc>
      </w:tr>
      <w:tr>
        <w:tc>
          <w:tcPr>
            <w:tcW w:type="dxa" w:w="4896"/>
          </w:tcPr>
          <w:p>
            <w:r>
              <w:t>Spletni portal</w:t>
            </w:r>
          </w:p>
        </w:tc>
        <w:tc>
          <w:tcPr>
            <w:tcW w:type="dxa" w:w="4896"/>
          </w:tcPr>
          <w:p>
            <w:r>
              <w:t>odzivna spletna aplikacija</w:t>
            </w:r>
          </w:p>
        </w:tc>
      </w:tr>
      <w:tr>
        <w:tc>
          <w:tcPr>
            <w:tcW w:type="dxa" w:w="4896"/>
          </w:tcPr>
          <w:p>
            <w:r>
              <w:t>Zaledni sistem</w:t>
            </w:r>
          </w:p>
        </w:tc>
        <w:tc>
          <w:tcPr>
            <w:tcW w:type="dxa" w:w="4896"/>
          </w:tcPr>
          <w:p>
            <w:r>
              <w:t>REST API</w:t>
            </w:r>
          </w:p>
        </w:tc>
      </w:tr>
      <w:tr>
        <w:tc>
          <w:tcPr>
            <w:tcW w:type="dxa" w:w="4896"/>
          </w:tcPr>
          <w:p>
            <w:r>
              <w:t>Avtentikacija</w:t>
            </w:r>
          </w:p>
        </w:tc>
        <w:tc>
          <w:tcPr>
            <w:tcW w:type="dxa" w:w="4896"/>
          </w:tcPr>
          <w:p>
            <w:r>
              <w:t>uporabniško ime, geslo, JWT</w:t>
            </w:r>
          </w:p>
        </w:tc>
      </w:tr>
      <w:tr>
        <w:tc>
          <w:tcPr>
            <w:tcW w:type="dxa" w:w="4896"/>
          </w:tcPr>
          <w:p>
            <w:r>
              <w:t>Baza podatkov</w:t>
            </w:r>
          </w:p>
        </w:tc>
        <w:tc>
          <w:tcPr>
            <w:tcW w:type="dxa" w:w="4896"/>
          </w:tcPr>
          <w:p>
            <w:r>
              <w:t>PostgreSQL</w:t>
            </w:r>
          </w:p>
        </w:tc>
      </w:tr>
      <w:tr>
        <w:tc>
          <w:tcPr>
            <w:tcW w:type="dxa" w:w="4896"/>
          </w:tcPr>
          <w:p>
            <w:r>
              <w:t>Gostovanje</w:t>
            </w:r>
          </w:p>
        </w:tc>
        <w:tc>
          <w:tcPr>
            <w:tcW w:type="dxa" w:w="4896"/>
          </w:tcPr>
          <w:p>
            <w:r>
              <w:t>oblačno okolje ali strežnik naročnika</w:t>
            </w:r>
          </w:p>
        </w:tc>
      </w:tr>
      <w:tr>
        <w:tc>
          <w:tcPr>
            <w:tcW w:type="dxa" w:w="4896"/>
          </w:tcPr>
          <w:p>
            <w:r>
              <w:t>Obvestila</w:t>
            </w:r>
          </w:p>
        </w:tc>
        <w:tc>
          <w:tcPr>
            <w:tcW w:type="dxa" w:w="4896"/>
          </w:tcPr>
          <w:p>
            <w:r>
              <w:t>osnovno pošiljanje e-pošte prek SMTP</w:t>
            </w:r>
          </w:p>
        </w:tc>
      </w:tr>
    </w:tbl>
    <w:p/>
    <w:p>
      <w:pPr>
        <w:spacing w:after="120"/>
      </w:pPr>
      <w:r>
        <w:t>Končna izbira tehnologije se potrdi v začetni fazi projekta.</w:t>
      </w:r>
    </w:p>
    <w:p>
      <w:pPr>
        <w:pStyle w:val="Heading1"/>
      </w:pPr>
      <w:r>
        <w:t>5. Obseg dela</w:t>
      </w:r>
    </w:p>
    <w:p>
      <w:pPr>
        <w:spacing w:after="120"/>
      </w:pPr>
      <w:r>
        <w:t>V projekt so vključene naslednje aktivnosti:</w:t>
      </w:r>
    </w:p>
    <w:tbl>
      <w:tblPr>
        <w:tblStyle w:val="TableGrid"/>
        <w:tblW w:type="auto" w:w="0"/>
        <w:tblLook w:firstColumn="1" w:firstRow="1" w:lastColumn="0" w:lastRow="0" w:noHBand="0" w:noVBand="1" w:val="04A0"/>
      </w:tblPr>
      <w:tblGrid>
        <w:gridCol w:w="4896"/>
        <w:gridCol w:w="4896"/>
      </w:tblGrid>
      <w:tr>
        <w:tc>
          <w:tcPr>
            <w:tcW w:type="dxa" w:w="4896"/>
          </w:tcPr>
          <w:p>
            <w:r>
              <w:rPr>
                <w:b/>
              </w:rPr>
              <w:t>Aktivnost</w:t>
            </w:r>
          </w:p>
        </w:tc>
        <w:tc>
          <w:tcPr>
            <w:tcW w:type="dxa" w:w="4896"/>
          </w:tcPr>
          <w:p>
            <w:r>
              <w:rPr>
                <w:b/>
              </w:rPr>
              <w:t>Opis</w:t>
            </w:r>
          </w:p>
        </w:tc>
      </w:tr>
      <w:tr>
        <w:tc>
          <w:tcPr>
            <w:tcW w:type="dxa" w:w="4896"/>
          </w:tcPr>
          <w:p>
            <w:r>
              <w:t>Analiza zahtev</w:t>
            </w:r>
          </w:p>
        </w:tc>
        <w:tc>
          <w:tcPr>
            <w:tcW w:type="dxa" w:w="4896"/>
          </w:tcPr>
          <w:p>
            <w:r>
              <w:t>uskladitev vlog, statusov, podatkovnih polj in glavnih scenarijev</w:t>
            </w:r>
          </w:p>
        </w:tc>
      </w:tr>
      <w:tr>
        <w:tc>
          <w:tcPr>
            <w:tcW w:type="dxa" w:w="4896"/>
          </w:tcPr>
          <w:p>
            <w:r>
              <w:t>UX zasnova</w:t>
            </w:r>
          </w:p>
        </w:tc>
        <w:tc>
          <w:tcPr>
            <w:tcW w:type="dxa" w:w="4896"/>
          </w:tcPr>
          <w:p>
            <w:r>
              <w:t>priprava osnovnih zaslonov in uporabniškega toka</w:t>
            </w:r>
          </w:p>
        </w:tc>
      </w:tr>
      <w:tr>
        <w:tc>
          <w:tcPr>
            <w:tcW w:type="dxa" w:w="4896"/>
          </w:tcPr>
          <w:p>
            <w:r>
              <w:t>Razvoj portala</w:t>
            </w:r>
          </w:p>
        </w:tc>
        <w:tc>
          <w:tcPr>
            <w:tcW w:type="dxa" w:w="4896"/>
          </w:tcPr>
          <w:p>
            <w:r>
              <w:t>razvoj uporabniškega dela za stranke, serviserje in administratorje</w:t>
            </w:r>
          </w:p>
        </w:tc>
      </w:tr>
      <w:tr>
        <w:tc>
          <w:tcPr>
            <w:tcW w:type="dxa" w:w="4896"/>
          </w:tcPr>
          <w:p>
            <w:r>
              <w:t>Razvoj zaledja</w:t>
            </w:r>
          </w:p>
        </w:tc>
        <w:tc>
          <w:tcPr>
            <w:tcW w:type="dxa" w:w="4896"/>
          </w:tcPr>
          <w:p>
            <w:r>
              <w:t>API, baza podatkov in osnovna administracija</w:t>
            </w:r>
          </w:p>
        </w:tc>
      </w:tr>
      <w:tr>
        <w:tc>
          <w:tcPr>
            <w:tcW w:type="dxa" w:w="4896"/>
          </w:tcPr>
          <w:p>
            <w:r>
              <w:t>Testiranje</w:t>
            </w:r>
          </w:p>
        </w:tc>
        <w:tc>
          <w:tcPr>
            <w:tcW w:type="dxa" w:w="4896"/>
          </w:tcPr>
          <w:p>
            <w:r>
              <w:t>funkcionalno testiranje in odprava napak</w:t>
            </w:r>
          </w:p>
        </w:tc>
      </w:tr>
      <w:tr>
        <w:tc>
          <w:tcPr>
            <w:tcW w:type="dxa" w:w="4896"/>
          </w:tcPr>
          <w:p>
            <w:r>
              <w:t>Uvajanje</w:t>
            </w:r>
          </w:p>
        </w:tc>
        <w:tc>
          <w:tcPr>
            <w:tcW w:type="dxa" w:w="4896"/>
          </w:tcPr>
          <w:p>
            <w:r>
              <w:t>kratko usposabljanje administratorjev in ključnih uporabnikov</w:t>
            </w:r>
          </w:p>
        </w:tc>
      </w:tr>
    </w:tbl>
    <w:p/>
    <w:p>
      <w:pPr>
        <w:pStyle w:val="Heading1"/>
      </w:pPr>
      <w:r>
        <w:t>6. Terminski okvir</w:t>
      </w:r>
    </w:p>
    <w:p>
      <w:pPr>
        <w:spacing w:after="120"/>
      </w:pPr>
      <w:r>
        <w:t>Predviden terminski okvir izvedbe je 8 do 10 tednov od potrditve ponudbe.</w:t>
      </w:r>
    </w:p>
    <w:tbl>
      <w:tblPr>
        <w:tblStyle w:val="TableGrid"/>
        <w:tblW w:type="auto" w:w="0"/>
        <w:tblLook w:firstColumn="1" w:firstRow="1" w:lastColumn="0" w:lastRow="0" w:noHBand="0" w:noVBand="1" w:val="04A0"/>
      </w:tblPr>
      <w:tblGrid>
        <w:gridCol w:w="4896"/>
        <w:gridCol w:w="4896"/>
      </w:tblGrid>
      <w:tr>
        <w:tc>
          <w:tcPr>
            <w:tcW w:type="dxa" w:w="4896"/>
          </w:tcPr>
          <w:p>
            <w:r>
              <w:rPr>
                <w:b/>
              </w:rPr>
              <w:t>Faza</w:t>
            </w:r>
          </w:p>
        </w:tc>
        <w:tc>
          <w:tcPr>
            <w:tcW w:type="dxa" w:w="4896"/>
          </w:tcPr>
          <w:p>
            <w:r>
              <w:rPr>
                <w:b/>
              </w:rPr>
              <w:t>Trajanje</w:t>
            </w:r>
          </w:p>
        </w:tc>
      </w:tr>
      <w:tr>
        <w:tc>
          <w:tcPr>
            <w:tcW w:type="dxa" w:w="4896"/>
          </w:tcPr>
          <w:p>
            <w:r>
              <w:t>Analiza in UX zasnova</w:t>
            </w:r>
          </w:p>
        </w:tc>
        <w:tc>
          <w:tcPr>
            <w:tcW w:type="dxa" w:w="4896"/>
          </w:tcPr>
          <w:p>
            <w:pPr>
              <w:jc w:val="right"/>
            </w:pPr>
            <w:r>
              <w:t>1-2 tedna</w:t>
            </w:r>
          </w:p>
        </w:tc>
      </w:tr>
      <w:tr>
        <w:tc>
          <w:tcPr>
            <w:tcW w:type="dxa" w:w="4896"/>
          </w:tcPr>
          <w:p>
            <w:r>
              <w:t>Razvoj prve verzije</w:t>
            </w:r>
          </w:p>
        </w:tc>
        <w:tc>
          <w:tcPr>
            <w:tcW w:type="dxa" w:w="4896"/>
          </w:tcPr>
          <w:p>
            <w:pPr>
              <w:jc w:val="right"/>
            </w:pPr>
            <w:r>
              <w:t>4-5 tednov</w:t>
            </w:r>
          </w:p>
        </w:tc>
      </w:tr>
      <w:tr>
        <w:tc>
          <w:tcPr>
            <w:tcW w:type="dxa" w:w="4896"/>
          </w:tcPr>
          <w:p>
            <w:r>
              <w:t>Testiranje in popravki</w:t>
            </w:r>
          </w:p>
        </w:tc>
        <w:tc>
          <w:tcPr>
            <w:tcW w:type="dxa" w:w="4896"/>
          </w:tcPr>
          <w:p>
            <w:pPr>
              <w:jc w:val="right"/>
            </w:pPr>
            <w:r>
              <w:t>2 tedna</w:t>
            </w:r>
          </w:p>
        </w:tc>
      </w:tr>
      <w:tr>
        <w:tc>
          <w:tcPr>
            <w:tcW w:type="dxa" w:w="4896"/>
          </w:tcPr>
          <w:p>
            <w:r>
              <w:t>Uvajanje in predaja</w:t>
            </w:r>
          </w:p>
        </w:tc>
        <w:tc>
          <w:tcPr>
            <w:tcW w:type="dxa" w:w="4896"/>
          </w:tcPr>
          <w:p>
            <w:pPr>
              <w:jc w:val="right"/>
            </w:pPr>
            <w:r>
              <w:t>1 teden</w:t>
            </w:r>
          </w:p>
        </w:tc>
      </w:tr>
    </w:tbl>
    <w:p/>
    <w:p>
      <w:pPr>
        <w:spacing w:after="120"/>
      </w:pPr>
      <w:r>
        <w:t>Terminski okvir je odvisen od razpoložljivosti ključnih uporabnikov naročnika, kakovosti vhodnih podatkov in pravočasnega potrjevanja vsebinskih odločitev.</w:t>
      </w:r>
    </w:p>
    <w:p>
      <w:pPr>
        <w:pStyle w:val="Heading1"/>
      </w:pPr>
      <w:r>
        <w:t>7. Cena</w:t>
      </w:r>
    </w:p>
    <w:p>
      <w:pPr>
        <w:spacing w:after="120"/>
      </w:pPr>
      <w:r>
        <w:t>Predvidena vrednost projekta znaša:</w:t>
      </w:r>
    </w:p>
    <w:tbl>
      <w:tblPr>
        <w:tblStyle w:val="TableGrid"/>
        <w:tblW w:type="auto" w:w="0"/>
        <w:tblLook w:firstColumn="1" w:firstRow="1" w:lastColumn="0" w:lastRow="0" w:noHBand="0" w:noVBand="1" w:val="04A0"/>
      </w:tblPr>
      <w:tblGrid>
        <w:gridCol w:w="4896"/>
        <w:gridCol w:w="4896"/>
      </w:tblGrid>
      <w:tr>
        <w:tc>
          <w:tcPr>
            <w:tcW w:type="dxa" w:w="4896"/>
          </w:tcPr>
          <w:p>
            <w:r>
              <w:rPr>
                <w:b/>
              </w:rPr>
              <w:t>Postavka</w:t>
            </w:r>
          </w:p>
        </w:tc>
        <w:tc>
          <w:tcPr>
            <w:tcW w:type="dxa" w:w="4896"/>
          </w:tcPr>
          <w:p>
            <w:r>
              <w:rPr>
                <w:b/>
              </w:rPr>
              <w:t>Vrednost</w:t>
            </w:r>
          </w:p>
        </w:tc>
      </w:tr>
      <w:tr>
        <w:tc>
          <w:tcPr>
            <w:tcW w:type="dxa" w:w="4896"/>
          </w:tcPr>
          <w:p>
            <w:r>
              <w:t>Analiza zahtev in projektno vodenje</w:t>
            </w:r>
          </w:p>
        </w:tc>
        <w:tc>
          <w:tcPr>
            <w:tcW w:type="dxa" w:w="4896"/>
          </w:tcPr>
          <w:p>
            <w:pPr>
              <w:jc w:val="right"/>
            </w:pPr>
            <w:r>
              <w:t>2.400,00 EUR</w:t>
            </w:r>
          </w:p>
        </w:tc>
      </w:tr>
      <w:tr>
        <w:tc>
          <w:tcPr>
            <w:tcW w:type="dxa" w:w="4896"/>
          </w:tcPr>
          <w:p>
            <w:r>
              <w:t>UX zasnova portala</w:t>
            </w:r>
          </w:p>
        </w:tc>
        <w:tc>
          <w:tcPr>
            <w:tcW w:type="dxa" w:w="4896"/>
          </w:tcPr>
          <w:p>
            <w:pPr>
              <w:jc w:val="right"/>
            </w:pPr>
            <w:r>
              <w:t>1.800,00 EUR</w:t>
            </w:r>
          </w:p>
        </w:tc>
      </w:tr>
      <w:tr>
        <w:tc>
          <w:tcPr>
            <w:tcW w:type="dxa" w:w="4896"/>
          </w:tcPr>
          <w:p>
            <w:r>
              <w:t>Razvoj spletnega portala</w:t>
            </w:r>
          </w:p>
        </w:tc>
        <w:tc>
          <w:tcPr>
            <w:tcW w:type="dxa" w:w="4896"/>
          </w:tcPr>
          <w:p>
            <w:pPr>
              <w:jc w:val="right"/>
            </w:pPr>
            <w:r>
              <w:t>7.600,00 EUR</w:t>
            </w:r>
          </w:p>
        </w:tc>
      </w:tr>
      <w:tr>
        <w:tc>
          <w:tcPr>
            <w:tcW w:type="dxa" w:w="4896"/>
          </w:tcPr>
          <w:p>
            <w:r>
              <w:t>Razvoj zalednega sistema in API</w:t>
            </w:r>
          </w:p>
        </w:tc>
        <w:tc>
          <w:tcPr>
            <w:tcW w:type="dxa" w:w="4896"/>
          </w:tcPr>
          <w:p>
            <w:pPr>
              <w:jc w:val="right"/>
            </w:pPr>
            <w:r>
              <w:t>4.800,00 EUR</w:t>
            </w:r>
          </w:p>
        </w:tc>
      </w:tr>
      <w:tr>
        <w:tc>
          <w:tcPr>
            <w:tcW w:type="dxa" w:w="4896"/>
          </w:tcPr>
          <w:p>
            <w:r>
              <w:t>Testiranje in odprava napak</w:t>
            </w:r>
          </w:p>
        </w:tc>
        <w:tc>
          <w:tcPr>
            <w:tcW w:type="dxa" w:w="4896"/>
          </w:tcPr>
          <w:p>
            <w:pPr>
              <w:jc w:val="right"/>
            </w:pPr>
            <w:r>
              <w:t>2.000,00 EUR</w:t>
            </w:r>
          </w:p>
        </w:tc>
      </w:tr>
      <w:tr>
        <w:tc>
          <w:tcPr>
            <w:tcW w:type="dxa" w:w="4896"/>
          </w:tcPr>
          <w:p>
            <w:r>
              <w:t>Uvajanje in predaja</w:t>
            </w:r>
          </w:p>
        </w:tc>
        <w:tc>
          <w:tcPr>
            <w:tcW w:type="dxa" w:w="4896"/>
          </w:tcPr>
          <w:p>
            <w:pPr>
              <w:jc w:val="right"/>
            </w:pPr>
            <w:r>
              <w:t>900,00 EUR</w:t>
            </w:r>
          </w:p>
        </w:tc>
      </w:tr>
      <w:tr>
        <w:tc>
          <w:tcPr>
            <w:tcW w:type="dxa" w:w="4896"/>
          </w:tcPr>
          <w:p>
            <w:r>
              <w:t>Skupaj</w:t>
            </w:r>
          </w:p>
        </w:tc>
        <w:tc>
          <w:tcPr>
            <w:tcW w:type="dxa" w:w="4896"/>
          </w:tcPr>
          <w:p>
            <w:pPr>
              <w:jc w:val="right"/>
            </w:pPr>
            <w:r>
              <w:t>19.500,00 EUR</w:t>
            </w:r>
          </w:p>
        </w:tc>
      </w:tr>
    </w:tbl>
    <w:p/>
    <w:p>
      <w:pPr>
        <w:spacing w:after="120"/>
      </w:pPr>
      <w:r>
        <w:t>Cene ne vključujejo DDV.</w:t>
      </w:r>
    </w:p>
    <w:p>
      <w:pPr>
        <w:spacing w:after="120"/>
      </w:pPr>
      <w:r>
        <w:t>Vzdrževanje po zaključku projekta se lahko dogovori posebej. Predlagan osnovni paket vzdrževanja znaša 420,00 EUR mesečno in vključuje manjše popravke, tehnično podporo, spremljanje delovanja in osnovne posodobitve.</w:t>
      </w:r>
    </w:p>
    <w:p>
      <w:pPr>
        <w:pStyle w:val="Heading1"/>
      </w:pPr>
      <w:r>
        <w:t>8. Pogoji plačila</w:t>
      </w:r>
    </w:p>
    <w:p>
      <w:pPr>
        <w:spacing w:after="120"/>
      </w:pPr>
      <w:r>
        <w:t>Predlagani plačilni pogoji:</w:t>
      </w:r>
    </w:p>
    <w:tbl>
      <w:tblPr>
        <w:tblStyle w:val="TableGrid"/>
        <w:tblW w:type="auto" w:w="0"/>
        <w:tblLook w:firstColumn="1" w:firstRow="1" w:lastColumn="0" w:lastRow="0" w:noHBand="0" w:noVBand="1" w:val="04A0"/>
      </w:tblPr>
      <w:tblGrid>
        <w:gridCol w:w="4896"/>
        <w:gridCol w:w="4896"/>
      </w:tblGrid>
      <w:tr>
        <w:tc>
          <w:tcPr>
            <w:tcW w:type="dxa" w:w="4896"/>
          </w:tcPr>
          <w:p>
            <w:r>
              <w:rPr>
                <w:b/>
              </w:rPr>
              <w:t>Faza</w:t>
            </w:r>
          </w:p>
        </w:tc>
        <w:tc>
          <w:tcPr>
            <w:tcW w:type="dxa" w:w="4896"/>
          </w:tcPr>
          <w:p>
            <w:r>
              <w:rPr>
                <w:b/>
              </w:rPr>
              <w:t>Delež</w:t>
            </w:r>
          </w:p>
        </w:tc>
      </w:tr>
      <w:tr>
        <w:tc>
          <w:tcPr>
            <w:tcW w:type="dxa" w:w="4896"/>
          </w:tcPr>
          <w:p>
            <w:r>
              <w:t>Ob potrditvi ponudbe</w:t>
            </w:r>
          </w:p>
        </w:tc>
        <w:tc>
          <w:tcPr>
            <w:tcW w:type="dxa" w:w="4896"/>
          </w:tcPr>
          <w:p>
            <w:pPr>
              <w:jc w:val="right"/>
            </w:pPr>
            <w:r>
              <w:t>30 %</w:t>
            </w:r>
          </w:p>
        </w:tc>
      </w:tr>
      <w:tr>
        <w:tc>
          <w:tcPr>
            <w:tcW w:type="dxa" w:w="4896"/>
          </w:tcPr>
          <w:p>
            <w:r>
              <w:t>Po potrjeni UX zasnovi</w:t>
            </w:r>
          </w:p>
        </w:tc>
        <w:tc>
          <w:tcPr>
            <w:tcW w:type="dxa" w:w="4896"/>
          </w:tcPr>
          <w:p>
            <w:pPr>
              <w:jc w:val="right"/>
            </w:pPr>
            <w:r>
              <w:t>20 %</w:t>
            </w:r>
          </w:p>
        </w:tc>
      </w:tr>
      <w:tr>
        <w:tc>
          <w:tcPr>
            <w:tcW w:type="dxa" w:w="4896"/>
          </w:tcPr>
          <w:p>
            <w:r>
              <w:t>Po predaji testne verzije</w:t>
            </w:r>
          </w:p>
        </w:tc>
        <w:tc>
          <w:tcPr>
            <w:tcW w:type="dxa" w:w="4896"/>
          </w:tcPr>
          <w:p>
            <w:pPr>
              <w:jc w:val="right"/>
            </w:pPr>
            <w:r>
              <w:t>30 %</w:t>
            </w:r>
          </w:p>
        </w:tc>
      </w:tr>
      <w:tr>
        <w:tc>
          <w:tcPr>
            <w:tcW w:type="dxa" w:w="4896"/>
          </w:tcPr>
          <w:p>
            <w:r>
              <w:t>Po zaključku projekta</w:t>
            </w:r>
          </w:p>
        </w:tc>
        <w:tc>
          <w:tcPr>
            <w:tcW w:type="dxa" w:w="4896"/>
          </w:tcPr>
          <w:p>
            <w:pPr>
              <w:jc w:val="right"/>
            </w:pPr>
            <w:r>
              <w:t>20 %</w:t>
            </w:r>
          </w:p>
        </w:tc>
      </w:tr>
    </w:tbl>
    <w:p/>
    <w:p>
      <w:pPr>
        <w:spacing w:after="120"/>
      </w:pPr>
      <w:r>
        <w:t>Rok plačila je 15 dni od izdaje računa.</w:t>
      </w:r>
    </w:p>
    <w:p>
      <w:pPr>
        <w:pStyle w:val="Heading1"/>
      </w:pPr>
      <w:r>
        <w:t>9. Predpostavke</w:t>
      </w:r>
    </w:p>
    <w:p>
      <w:pPr>
        <w:spacing w:after="120"/>
      </w:pPr>
      <w:r>
        <w:t>Ponudba temelji na naslednjih predpostavkah:</w:t>
      </w:r>
    </w:p>
    <w:p>
      <w:pPr>
        <w:pStyle w:val="ListBullet"/>
        <w:spacing w:after="40"/>
      </w:pPr>
      <w:r>
        <w:t>portal se pripravi v slovenskem jeziku</w:t>
      </w:r>
    </w:p>
    <w:p>
      <w:pPr>
        <w:pStyle w:val="ListBullet"/>
        <w:spacing w:after="40"/>
      </w:pPr>
      <w:r>
        <w:t>naročnik zagotovi vsebinske podatke, tipe zahtevkov in testne uporabnike</w:t>
      </w:r>
    </w:p>
    <w:p>
      <w:pPr>
        <w:pStyle w:val="ListBullet"/>
        <w:spacing w:after="40"/>
      </w:pPr>
      <w:r>
        <w:t>naročnik pravočasno potrjuje zaslone in funkcionalnosti</w:t>
      </w:r>
    </w:p>
    <w:p>
      <w:pPr>
        <w:pStyle w:val="ListBullet"/>
        <w:spacing w:after="40"/>
      </w:pPr>
      <w:r>
        <w:t>integracija z zunanjimi ERP, CRM ali računovodskimi sistemi ni vključena</w:t>
      </w:r>
    </w:p>
    <w:p>
      <w:pPr>
        <w:pStyle w:val="ListBullet"/>
        <w:spacing w:after="40"/>
      </w:pPr>
      <w:r>
        <w:t>napredni SLA obračuni niso vključeni v prvo verzijo</w:t>
      </w:r>
    </w:p>
    <w:p>
      <w:pPr>
        <w:pStyle w:val="Heading1"/>
      </w:pPr>
      <w:r>
        <w:t>10. Izključitve</w:t>
      </w:r>
    </w:p>
    <w:p>
      <w:pPr>
        <w:spacing w:after="120"/>
      </w:pPr>
      <w:r>
        <w:t>Ponudba ne vključuje:</w:t>
      </w:r>
    </w:p>
    <w:p>
      <w:pPr>
        <w:pStyle w:val="ListBullet"/>
        <w:spacing w:after="40"/>
      </w:pPr>
      <w:r>
        <w:t>integracije z zunanjimi ERP, CRM ali računovodskimi sistemi</w:t>
      </w:r>
    </w:p>
    <w:p>
      <w:pPr>
        <w:pStyle w:val="ListBullet"/>
        <w:spacing w:after="40"/>
      </w:pPr>
      <w:r>
        <w:t>napredne analitike in BI nadzornih plošč</w:t>
      </w:r>
    </w:p>
    <w:p>
      <w:pPr>
        <w:pStyle w:val="ListBullet"/>
        <w:spacing w:after="40"/>
      </w:pPr>
      <w:r>
        <w:t>večjezičnosti</w:t>
      </w:r>
    </w:p>
    <w:p>
      <w:pPr>
        <w:pStyle w:val="ListBullet"/>
        <w:spacing w:after="40"/>
      </w:pPr>
      <w:r>
        <w:t>migracije zgodovinskih servisnih zahtevkov</w:t>
      </w:r>
    </w:p>
    <w:p>
      <w:pPr>
        <w:pStyle w:val="ListBullet"/>
        <w:spacing w:after="40"/>
      </w:pPr>
      <w:r>
        <w:t>oblikovanja javne marketinške spletne strani</w:t>
      </w:r>
    </w:p>
    <w:p>
      <w:pPr>
        <w:pStyle w:val="ListBullet"/>
        <w:spacing w:after="40"/>
      </w:pPr>
      <w:r>
        <w:t>strojne opreme</w:t>
      </w:r>
    </w:p>
    <w:p>
      <w:pPr>
        <w:pStyle w:val="ListBullet"/>
        <w:spacing w:after="40"/>
      </w:pPr>
      <w:r>
        <w:t>licenc tretjih ponudnikov, če bi bile potrebne</w:t>
      </w:r>
    </w:p>
    <w:p>
      <w:pPr>
        <w:pStyle w:val="ListBullet"/>
        <w:spacing w:after="40"/>
      </w:pPr>
      <w:r>
        <w:t>naknadnih sprememb po potrjeni specifikaciji</w:t>
      </w:r>
    </w:p>
    <w:p>
      <w:pPr>
        <w:spacing w:after="120"/>
      </w:pPr>
      <w:r>
        <w:t>Dodatne funkcionalnosti se ocenijo ločeno.</w:t>
      </w:r>
    </w:p>
    <w:p>
      <w:pPr>
        <w:pStyle w:val="Heading1"/>
      </w:pPr>
      <w:r>
        <w:t>11. Pravice in izvorna koda</w:t>
      </w:r>
    </w:p>
    <w:p>
      <w:pPr>
        <w:spacing w:after="120"/>
      </w:pPr>
      <w:r>
        <w:t>Po plačilu vseh obveznosti naročnik pridobi pravico do uporabe razvite rešitve za lastne poslovne potrebe. Izvorna koda in pravice do nadaljnjega razvoja se uredijo glede na končni dogovor med naročnikom in izvajalcem.</w:t>
      </w:r>
    </w:p>
    <w:p>
      <w:pPr>
        <w:spacing w:after="120"/>
      </w:pPr>
      <w:r>
        <w:t>Če naročnik želi popoln prenos izvorne kode in vseh materialnih avtorskih pravic, se to opredeli v ločeni pogodbeni klavzuli.</w:t>
      </w:r>
    </w:p>
    <w:p>
      <w:pPr>
        <w:pStyle w:val="Heading1"/>
      </w:pPr>
      <w:r>
        <w:t>12. Veljavnost ponudbe</w:t>
      </w:r>
    </w:p>
    <w:p>
      <w:pPr>
        <w:spacing w:after="120"/>
      </w:pPr>
      <w:r>
        <w:t>Ponudba velja 30 dni od datuma izdaje.</w:t>
      </w:r>
    </w:p>
    <w:p>
      <w:pPr>
        <w:spacing w:after="120"/>
      </w:pPr>
      <w:r>
        <w:t>Za Orka Informatika d.o.o.</w:t>
      </w:r>
    </w:p>
    <w:p>
      <w:pPr>
        <w:spacing w:after="120"/>
      </w:pPr>
      <w:r>
        <w:t>Janez Novak</w:t>
      </w:r>
    </w:p>
    <w:p>
      <w:pPr>
        <w:spacing w:after="120"/>
      </w:pPr>
      <w:r>
        <w:t>Vodja prodaje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