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Multi-Factor Adaptive Traffic Signal Control Under Directional Demand Asymmetry and Dynamic Flow: Formulation, Stability Constraints, and Confirmatory Simulation Evaluation</w:t>
      </w:r>
    </w:p>
    <w:p>
      <w:pPr>
        <w:jc w:val="center"/>
      </w:pPr>
      <w:r>
        <w:rPr>
          <w:i/>
          <w:sz w:val="22"/>
        </w:rPr>
        <w:t>Antigravity Research Consortium</w:t>
        <w:br/>
        <w:t>Department of Civil and Environmental Engineering</w:t>
        <w:br/>
        <w:t>Intelligent Transportation Systems Laboratory</w:t>
      </w:r>
    </w:p>
    <w:p>
      <w:pPr>
        <w:jc w:val="center"/>
      </w:pPr>
      <w:r>
        <w:rPr>
          <w:color w:val="4A5568"/>
          <w:sz w:val="20"/>
        </w:rPr>
        <w:t>Prepared for Submission to: Journal of Intelligent Transportation Systems: Technology, Planning, and Operations (Taylor &amp; Francis)</w:t>
        <w:br/>
        <w:t>Date: October 2026</w:t>
      </w:r>
    </w:p>
    <w:p/>
    <w:p>
      <w:pPr>
        <w:pStyle w:val="Heading2"/>
      </w:pPr>
      <w:r>
        <w:t>Abstract</w:t>
      </w:r>
    </w:p>
    <w:p>
      <w:pPr>
        <w:spacing w:line="276" w:lineRule="auto"/>
      </w:pPr>
      <w:r>
        <w:t>Traffic signal control at urban intersections faces persistent trade-offs between dynamic responsiveness to fluctuating vehicular queues and operational stability across varied demand regimes. Traditional fixed-time plans perform reliably under symmetric, steady-state flows but degrade severely under directional asymmetry or temporal surges. Conversely, unconstrained adaptive algorithms frequently exhibit excessive phase hunting, high-frequency switching, and loss of effective capacity due to yellow clearance lost time. This study presents a multi-factor adaptive traffic signal control formulation that integrates instantaneous halting queue length, upstream arrival pressure, backward finite-difference queue growth, accumulated waiting burden, and continuous red-age fairness. Operational stability is enforced through a constrained state-machine combining NEMA minimum and maximum green bounds, an absolute starvation override, and a calibrated switching hysteresis barrier (H = 0.20). The controller was evaluated in Eclipse SUMO via TraCI across seven demand scenarios and five independent evaluation seeds (N = 5 matched simulation realizations per cell, 140 total runs), benchmarking against original 90-second fixed-time control (C0), Webster-calibrated 36-second fixed-time control (C1), and basic queue-based adaptive control (C2). Evaluated strictly on a pre-registered Cohort A population, the proposed controller demonstrates its primary advantage under directional asymmetry, reducing mean waiting time by 61.6% to 63.2% relative to Webster-calibrated fixed-time timing (p_adj &lt; 0.04 under Benjamini-Hochberg FDR control). Furthermore, across all seven evaluated scenarios, the proposed controller achieves a statistically significant 4.6% to 20.3% reduction in phase transitions compared to naive queue control (p &lt; 0.028), successfully suppressing phase hunting without sacrificing throughput. Under symmetric steady-state demand, calibrated fixed-time control matches or slightly exceeds the adaptive controller's waiting-time performance, confirming the hypothesis that multi-factor adaptive control provides targeted benefits under asymmetric and dynamic regimes rather than uniform superiority across all traffic states.</w:t>
      </w:r>
    </w:p>
    <w:p>
      <w:r>
        <w:rPr>
          <w:b/>
        </w:rPr>
        <w:t xml:space="preserve">Keywords: </w:t>
      </w:r>
      <w:r>
        <w:t>Adaptive traffic signal control, intelligent transportation systems, traffic signal optimization, queue dynamics, demand asymmetry, SUMO microscopic simulation, phase switching stability.</w:t>
      </w:r>
    </w:p>
    <w:p>
      <w:r>
        <w:br w:type="page"/>
      </w:r>
    </w:p>
    <w:p>
      <w:pPr>
        <w:pStyle w:val="Heading1"/>
      </w:pPr>
      <w:r>
        <w:t>1. Introduction</w:t>
      </w:r>
    </w:p>
    <w:p>
      <w:r>
        <w:t>Urban traffic congestion remains a critical global challenge, exacerbating economic inefficiency, vehicular emissions, and commuter delays (Papageorgiou et al., 2003). Signalized intersections represent the primary bottlenecks within urban arterial networks. Conventionally, signal timing plans rely on pre-timed or fixed-time schedules derived from historical flow observations, such as Webster's seminal cycle length formulation (Webster, 1958). While fixed-time control offers operational simplicity and predictable coordination, it cannot adapt dynamically to stochastic queue accumulation, sudden temporal surges, or pronounced directional demand asymmetries.</w:t>
      </w:r>
    </w:p>
    <w:p>
      <w:r>
        <w:t>To address these limitations, adaptive traffic signal control (ATSC) systems have been extensively investigated. Classical systems such as SCOOT (Hunt et al., 1981) and SCATS (Sims &amp; Dobinson, 1980) adjust cycle splits incrementally based on detector occupancy. More recent advances employ model-predictive control (Wongpiromsarn et al., 2012), max-pressure formulations (Varaiya, 2013), and reinforcement learning (Wei et al., 2018, 2019). However, existing adaptive methods frequently suffer from two operational deficiencies:</w:t>
      </w:r>
    </w:p>
    <w:p>
      <w:r>
        <w:t>1. High-Frequency Phase Hunting: Controllers driven purely by instantaneous queue comparisons often toggle signal phases erratically when competing demands are closely matched, squandering valuable green time on mandatory yellow clearance transitions (Y = 3 s).</w:t>
        <w:br/>
        <w:t>2. Evaluation against Straw-Man Baselines: In the literature, proposed adaptive controllers are frequently benchmarked solely against uncalibrated, excessively long static cycle plans (e.g., 90–120 seconds) without comparison against properly calibrated, minimal-cycle fixed-time baselines or intermediate density controllers (Genders &amp; Razavi, 2016).</w:t>
      </w:r>
    </w:p>
    <w:p>
      <w:r>
        <w:t>This paper addresses these gaps by developing, mathematically formalizing, and rigorously auditing a multi-factor adaptive signal control architecture. The controller combines five distinct operational features: (1) halting queue length, (2) advance upstream arrival pressure, (3) temporal queue growth finite-difference, (4) accumulated waiting burden, and (5) continuous red-age fairness. Crucially, phase switching is governed by a dual-threshold mechanism combining absolute safety boundaries (NEMA minimum and maximum green, starvation override) with a dimensionless switching hysteresis barrier (H = 0.20).</w:t>
      </w:r>
    </w:p>
    <w:p>
      <w:pPr>
        <w:pStyle w:val="Heading2"/>
      </w:pPr>
      <w:r>
        <w:t>1.1 Research Contributions</w:t>
      </w:r>
    </w:p>
    <w:p>
      <w:r>
        <w:t>The specific contributions of this work are fourfold:</w:t>
        <w:br/>
        <w:t>• Multi-Factor State-Feedback Formulation: We formulate a dimensionless composite priority metric that incorporates existing queues, incoming platoons, developing congestion, delay equity, and continuous starvation prevention.</w:t>
        <w:br/>
        <w:t>• Hysteresis-Stabilized Switching Law: We integrate an explicit switching hysteresis margin that prevents high-frequency phase toggling, proving that phase transitions can be substantially reduced without increasing overall vehicular delay.</w:t>
        <w:br/>
        <w:t>• Rigorous Matched-Pairs Simulation Protocol: We execute a pre-registered simulation study in Eclipse SUMO eliminating pseudoreplication by treating the macro simulation realization (N = 5 seeds across 7 scenarios) as the independent experimental unit, isolating a pure post-warmup evaluation population (Cohort A).</w:t>
        <w:br/>
        <w:t>• Empirical Hypothesis Evaluation without Overclaiming: We evaluate whether the controller provides universal superiority or regime-specific advantages, confirming that its primary value emerges under directional asymmetry and phase stabilization rather than uniform delay minimization across symmetric steady-state regimes.</w:t>
      </w:r>
    </w:p>
    <w:p>
      <w:pPr>
        <w:pStyle w:val="Heading1"/>
      </w:pPr>
      <w:r>
        <w:t>2. Literature Review</w:t>
      </w:r>
    </w:p>
    <w:p>
      <w:r>
        <w:t>2.1 Fixed-Time and Webster-Based Control: Fixed-time signal control traces its mathematical foundation to Webster's method (Webster, 1958), which minimizes average intersection delay by calculating an optimum cycle length based on critical approach flow ratios and lost clearance time. When traffic flows are steady and symmetric, Webster-calibrated timing plans provide high throughput and zero detector-induced estimation variance. However, static cycle plans fail to adjust when arrival distributions diverge from historical averages (Newell, 1989).</w:t>
      </w:r>
    </w:p>
    <w:p>
      <w:r>
        <w:t>2.2 Actuated and Queue-Based Control: Semi-actuated and fully-actuated controllers utilize inductive loops or stop-bar detectors to extend green phases via gap-out logic (NEMA, 2005). Naive queue-length controllers compare stopping queues directly across conflicting approaches, switching whenever the opposing queue exceeds the active queue (Miller, 1963). However, without temporal damping or hysteresis, naive queue controllers exhibit severe phase hunting under balanced demands, triggering frequent clearance intervals that degrade intersection capacity (Gershenson, 2005).</w:t>
      </w:r>
    </w:p>
    <w:p>
      <w:r>
        <w:t>2.3 Adaptive and Network-Wide Strategies: Dynamic systems such as OPAC (Gartner, 1983) and RHODES (Mirchandani &amp; Head, 2001) introduced rolling-horizon optimization using upstream flow prediction. Varaiya formulated the max-pressure control paradigm (Varaiya, 2013), mathematically establishing throughput optimality in store-and-forward queueing networks. While max-pressure algorithms guarantee network stability under infinite queues, they may cause unacceptable waiting times on minor approaches in the absence of explicit fairness and starvation constraints (Kouvelas et al., 2014).</w:t>
      </w:r>
    </w:p>
    <w:p>
      <w:r>
        <w:t>2.4 Learning-Based Approaches: Recent investigations have applied deep reinforcement learning (DRL) to traffic signal control (Arel et al., 2010; Wei et al., 2018, 2019). Despite promising simulation demonstrations, DRL methods often lack safety guarantees, require complex state-action spaces, exhibit sensitivity to stochastic reward formulation, and present interpretability barriers for municipal traffic engineering deployment (Genders &amp; Razavi, 2016).</w:t>
      </w:r>
    </w:p>
    <w:p>
      <w:pPr>
        <w:pStyle w:val="Heading1"/>
      </w:pPr>
      <w:r>
        <w:t>3. Problem Formulation</w:t>
      </w:r>
    </w:p>
    <w:p>
      <w:r>
        <w:t>Consider an isolated four-arm orthogonal intersection J0 regulating North-South (d = NS, lanes i in {N, S}) and East-West (d = EW, lanes i in {E, W}) vehicular movements. Each approach has length L_link = 250 m, speed limit v_max = 13.89 m/s (50 km/h), and a single travel lane. The controller executes at uniform discrete time steps Delta t = 1.0 s.</w:t>
      </w:r>
    </w:p>
    <w:p>
      <w:r>
        <w:t>At each step t, the controller extracts simulated microscopic traffic observables via TraCI:</w:t>
        <w:br/>
        <w:t>1. Halting Queue Q_i(t): Number of queued vehicles on approach lane i with velocity v &lt; 0.1 m/s.</w:t>
        <w:br/>
        <w:t>2. Advance Upstream Inflow A_i(t): Vehicle count in the upstream entry segment (x_v &lt; 100.0 m), averaged over rolling window W_A = 20 s and scaled to equivalent arrival rate (veh/s).</w:t>
        <w:br/>
        <w:t>3. Queue Growth Rate g_i(t): Backward finite difference over window W_G = 10 s: g_i(t) = (Q_i(t) - Q_i(t - 10)) / 10.</w:t>
        <w:br/>
        <w:t>4. Accumulated Waiting Burden W_i(t): Average cumulative waiting duration across halting vehicles.</w:t>
        <w:br/>
        <w:t>5. Continuous Red Age R_d(t): Elapsed continuous seconds that direction d has been red while experiencing non-zero queue (Q_d(t) &gt; 0).</w:t>
      </w:r>
    </w:p>
    <w:p>
      <w:pPr>
        <w:pStyle w:val="Heading1"/>
      </w:pPr>
      <w:r>
        <w:t>4. Proposed Adaptive Signal Controller</w:t>
      </w:r>
    </w:p>
    <w:p>
      <w:r>
        <w:t>To ensure scale-invariance across heterogeneous traffic metrics, all state variables are normalized by physical engineering reference scales:</w:t>
        <w:br/>
        <w:t>• q_i(t) = min(Q_i(t) / 20.0, 2.0)</w:t>
        <w:br/>
        <w:t>• a_i(t) = min(A_i(t) / 0.40, 2.0)</w:t>
        <w:br/>
        <w:t>• w_i(t) = min(W_i(t) / 30.0, 2.0)</w:t>
        <w:br/>
        <w:t>• g_i(t) = max(-1.0, min(1.0, g_i(t) / 0.50))</w:t>
        <w:br/>
        <w:t>• r_d(t) = min(R_d(t) / 50.0, 1.0)</w:t>
      </w:r>
    </w:p>
    <w:p>
      <w:r>
        <w:t>The composite directional priority score S_d(t) is computed as:</w:t>
        <w:br/>
        <w:t>S_d(t) = alpha * sum(q_i) + beta * sum(a_i) + gamma * g_d + delta * sum(w_i) + eta * r_d</w:t>
        <w:br/>
        <w:t>with frozen parameters: alpha = 1.00, beta = 0.75, gamma = 0.10, delta = 0.25, eta = 0.25.</w:t>
      </w:r>
    </w:p>
    <w:p>
      <w:r>
        <w:t>Decision Logic and Switching Law: Let d_curr be active green and d_opp conflicting red. The controller evaluates:</w:t>
        <w:br/>
        <w:t>1. Minimum Green Gate: If t_green &lt; G_min (15 s), green is maintained.</w:t>
        <w:br/>
        <w:t>2. Maximum Green Gate: If t_green &gt;= G_max (50 s) and Q_opp &gt; 0, transition to yellow is enforced.</w:t>
        <w:br/>
        <w:t>3. Starvation Override Gate: If R_opp &gt;= R_starve (45 s) and Q_opp &gt; 0, transition to yellow is enforced.</w:t>
        <w:br/>
        <w:t>4. Hysteresis Switching Condition: If S_opp(t) &gt; S_curr(t) + H (H = 0.20), initiate yellow clearance (Y = 3 s); otherwise maintain green.</w:t>
      </w:r>
    </w:p>
    <w:p>
      <w:pPr>
        <w:pStyle w:val="Heading1"/>
      </w:pPr>
      <w:r>
        <w:t>5. Experimental Methodology</w:t>
      </w:r>
    </w:p>
    <w:p>
      <w:r>
        <w:t>Simulations were conducted in Eclipse SUMO v1.27.1 via TraCI. The evaluation matrix incorporates 4 controllers x 7 demand scenarios x 5 evaluation seeds (k in {42, 43, 44, 45, 46}), yielding exactly 140 simulation runs of 1000 s duration each. All performance metrics are extracted strictly from post-warmup Cohort A vehicles (t_depart &gt;= 200 s and t_arrive &gt;= 200 s).</w:t>
      </w:r>
    </w:p>
    <w:p>
      <w:r>
        <w:t>Four controllers were benchmarked under identical conditions:</w:t>
        <w:br/>
        <w:t>• C0: Original Fixed-Time (90 s static cycle: 42s G, 3s Y, 42s G, 3s Y)</w:t>
        <w:br/>
        <w:t>• C1: Webster-Calibrated Fixed-Time (36 s static cycle: 15s G, 3s Y, 15s G, 3s Y)</w:t>
        <w:br/>
        <w:t>• C2: Basic Queue Adaptive (Real-time Q comparison without damping or hysteresis)</w:t>
        <w:br/>
        <w:t>• C3: Proposed Multi-Factor Adaptive Controller</w:t>
      </w:r>
    </w:p>
    <w:p>
      <w:pPr>
        <w:pStyle w:val="Heading1"/>
      </w:pPr>
      <w:r>
        <w:t>6. Results and Inferential Statistical Analysis</w:t>
      </w:r>
    </w:p>
    <w:p>
      <w:r>
        <w:t>The confirmatory inferential analysis evaluates Cohort A Mean Waiting Time across 21 primary hypothesis tests (7 scenarios x 3 comparators), with Holm-Bonferroni (FWER) and Benjamini-Hochberg (FDR) corrections applied at alpha = 0.05. The primary results are presented in Table 1.</w:t>
      </w:r>
    </w:p>
    <w:p>
      <w:pPr>
        <w:pStyle w:val="Heading3"/>
      </w:pPr>
      <w:r>
        <w:t>Table 1: Primary Confirmatory Hypothesis Tests for Cohort A Mean Waiting Time</w:t>
      </w:r>
    </w:p>
    <w:tbl>
      <w:tblPr>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t>Scenario</w:t>
            </w:r>
          </w:p>
        </w:tc>
        <w:tc>
          <w:tcPr>
            <w:tcW w:type="dxa" w:w="1170"/>
          </w:tcPr>
          <w:p>
            <w:r>
              <w:t>Comp.</w:t>
            </w:r>
          </w:p>
        </w:tc>
        <w:tc>
          <w:tcPr>
            <w:tcW w:type="dxa" w:w="1170"/>
          </w:tcPr>
          <w:p>
            <w:r>
              <w:t>C3 Mean (s)</w:t>
            </w:r>
          </w:p>
        </w:tc>
        <w:tc>
          <w:tcPr>
            <w:tcW w:type="dxa" w:w="1170"/>
          </w:tcPr>
          <w:p>
            <w:r>
              <w:t>Comp Mean (s)</w:t>
            </w:r>
          </w:p>
        </w:tc>
        <w:tc>
          <w:tcPr>
            <w:tcW w:type="dxa" w:w="1170"/>
          </w:tcPr>
          <w:p>
            <w:r>
              <w:t>Diff (s)</w:t>
            </w:r>
          </w:p>
        </w:tc>
        <w:tc>
          <w:tcPr>
            <w:tcW w:type="dxa" w:w="1170"/>
          </w:tcPr>
          <w:p>
            <w:r>
              <w:t>% Change</w:t>
            </w:r>
          </w:p>
        </w:tc>
        <w:tc>
          <w:tcPr>
            <w:tcW w:type="dxa" w:w="1170"/>
          </w:tcPr>
          <w:p>
            <w:r>
              <w:t>BH q</w:t>
            </w:r>
          </w:p>
        </w:tc>
        <w:tc>
          <w:tcPr>
            <w:tcW w:type="dxa" w:w="1170"/>
          </w:tcPr>
          <w:p>
            <w:r>
              <w:t>Inferential Classification</w:t>
            </w:r>
          </w:p>
        </w:tc>
      </w:tr>
      <w:tr>
        <w:tc>
          <w:tcPr>
            <w:tcW w:type="dxa" w:w="1170"/>
          </w:tcPr>
          <w:p>
            <w:r>
              <w:t>low</w:t>
            </w:r>
          </w:p>
        </w:tc>
        <w:tc>
          <w:tcPr>
            <w:tcW w:type="dxa" w:w="1170"/>
          </w:tcPr>
          <w:p>
            <w:r>
              <w:t>C0</w:t>
            </w:r>
          </w:p>
        </w:tc>
        <w:tc>
          <w:tcPr>
            <w:tcW w:type="dxa" w:w="1170"/>
          </w:tcPr>
          <w:p>
            <w:r>
              <w:t>4.32</w:t>
            </w:r>
          </w:p>
        </w:tc>
        <w:tc>
          <w:tcPr>
            <w:tcW w:type="dxa" w:w="1170"/>
          </w:tcPr>
          <w:p>
            <w:r>
              <w:t>11.94</w:t>
            </w:r>
          </w:p>
        </w:tc>
        <w:tc>
          <w:tcPr>
            <w:tcW w:type="dxa" w:w="1170"/>
          </w:tcPr>
          <w:p>
            <w:r>
              <w:t>-7.62</w:t>
            </w:r>
          </w:p>
        </w:tc>
        <w:tc>
          <w:tcPr>
            <w:tcW w:type="dxa" w:w="1170"/>
          </w:tcPr>
          <w:p>
            <w:r>
              <w:t>-63.8%</w:t>
            </w:r>
          </w:p>
        </w:tc>
        <w:tc>
          <w:tcPr>
            <w:tcW w:type="dxa" w:w="1170"/>
          </w:tcPr>
          <w:p>
            <w:r>
              <w:t>0.0001</w:t>
            </w:r>
          </w:p>
        </w:tc>
        <w:tc>
          <w:tcPr>
            <w:tcW w:type="dxa" w:w="1170"/>
          </w:tcPr>
          <w:p>
            <w:r>
              <w:t>statistically supported improvement</w:t>
            </w:r>
          </w:p>
        </w:tc>
      </w:tr>
      <w:tr>
        <w:tc>
          <w:tcPr>
            <w:tcW w:type="dxa" w:w="1170"/>
          </w:tcPr>
          <w:p>
            <w:r>
              <w:t>low</w:t>
            </w:r>
          </w:p>
        </w:tc>
        <w:tc>
          <w:tcPr>
            <w:tcW w:type="dxa" w:w="1170"/>
          </w:tcPr>
          <w:p>
            <w:r>
              <w:t>C1</w:t>
            </w:r>
          </w:p>
        </w:tc>
        <w:tc>
          <w:tcPr>
            <w:tcW w:type="dxa" w:w="1170"/>
          </w:tcPr>
          <w:p>
            <w:r>
              <w:t>4.32</w:t>
            </w:r>
          </w:p>
        </w:tc>
        <w:tc>
          <w:tcPr>
            <w:tcW w:type="dxa" w:w="1170"/>
          </w:tcPr>
          <w:p>
            <w:r>
              <w:t>4.56</w:t>
            </w:r>
          </w:p>
        </w:tc>
        <w:tc>
          <w:tcPr>
            <w:tcW w:type="dxa" w:w="1170"/>
          </w:tcPr>
          <w:p>
            <w:r>
              <w:t>-0.24</w:t>
            </w:r>
          </w:p>
        </w:tc>
        <w:tc>
          <w:tcPr>
            <w:tcW w:type="dxa" w:w="1170"/>
          </w:tcPr>
          <w:p>
            <w:r>
              <w:t>-5.3%</w:t>
            </w:r>
          </w:p>
        </w:tc>
        <w:tc>
          <w:tcPr>
            <w:tcW w:type="dxa" w:w="1170"/>
          </w:tcPr>
          <w:p>
            <w:r>
              <w:t>0.6696</w:t>
            </w:r>
          </w:p>
        </w:tc>
        <w:tc>
          <w:tcPr>
            <w:tcW w:type="dxa" w:w="1170"/>
          </w:tcPr>
          <w:p>
            <w:r>
              <w:t>statistically unsupported improvement</w:t>
            </w:r>
          </w:p>
        </w:tc>
      </w:tr>
      <w:tr>
        <w:tc>
          <w:tcPr>
            <w:tcW w:type="dxa" w:w="1170"/>
          </w:tcPr>
          <w:p>
            <w:r>
              <w:t>low</w:t>
            </w:r>
          </w:p>
        </w:tc>
        <w:tc>
          <w:tcPr>
            <w:tcW w:type="dxa" w:w="1170"/>
          </w:tcPr>
          <w:p>
            <w:r>
              <w:t>C2</w:t>
            </w:r>
          </w:p>
        </w:tc>
        <w:tc>
          <w:tcPr>
            <w:tcW w:type="dxa" w:w="1170"/>
          </w:tcPr>
          <w:p>
            <w:r>
              <w:t>4.32</w:t>
            </w:r>
          </w:p>
        </w:tc>
        <w:tc>
          <w:tcPr>
            <w:tcW w:type="dxa" w:w="1170"/>
          </w:tcPr>
          <w:p>
            <w:r>
              <w:t>4.29</w:t>
            </w:r>
          </w:p>
        </w:tc>
        <w:tc>
          <w:tcPr>
            <w:tcW w:type="dxa" w:w="1170"/>
          </w:tcPr>
          <w:p>
            <w:r>
              <w:t>0.02</w:t>
            </w:r>
          </w:p>
        </w:tc>
        <w:tc>
          <w:tcPr>
            <w:tcW w:type="dxa" w:w="1170"/>
          </w:tcPr>
          <w:p>
            <w:r>
              <w:t>0.6%</w:t>
            </w:r>
          </w:p>
        </w:tc>
        <w:tc>
          <w:tcPr>
            <w:tcW w:type="dxa" w:w="1170"/>
          </w:tcPr>
          <w:p>
            <w:r>
              <w:t>0.9822</w:t>
            </w:r>
          </w:p>
        </w:tc>
        <w:tc>
          <w:tcPr>
            <w:tcW w:type="dxa" w:w="1170"/>
          </w:tcPr>
          <w:p>
            <w:r>
              <w:t>statistically unsupported degradation</w:t>
            </w:r>
          </w:p>
        </w:tc>
      </w:tr>
      <w:tr>
        <w:tc>
          <w:tcPr>
            <w:tcW w:type="dxa" w:w="1170"/>
          </w:tcPr>
          <w:p>
            <w:r>
              <w:t>medium</w:t>
            </w:r>
          </w:p>
        </w:tc>
        <w:tc>
          <w:tcPr>
            <w:tcW w:type="dxa" w:w="1170"/>
          </w:tcPr>
          <w:p>
            <w:r>
              <w:t>C0</w:t>
            </w:r>
          </w:p>
        </w:tc>
        <w:tc>
          <w:tcPr>
            <w:tcW w:type="dxa" w:w="1170"/>
          </w:tcPr>
          <w:p>
            <w:r>
              <w:t>8.40</w:t>
            </w:r>
          </w:p>
        </w:tc>
        <w:tc>
          <w:tcPr>
            <w:tcW w:type="dxa" w:w="1170"/>
          </w:tcPr>
          <w:p>
            <w:r>
              <w:t>16.40</w:t>
            </w:r>
          </w:p>
        </w:tc>
        <w:tc>
          <w:tcPr>
            <w:tcW w:type="dxa" w:w="1170"/>
          </w:tcPr>
          <w:p>
            <w:r>
              <w:t>-8.01</w:t>
            </w:r>
          </w:p>
        </w:tc>
        <w:tc>
          <w:tcPr>
            <w:tcW w:type="dxa" w:w="1170"/>
          </w:tcPr>
          <w:p>
            <w:r>
              <w:t>-48.8%</w:t>
            </w:r>
          </w:p>
        </w:tc>
        <w:tc>
          <w:tcPr>
            <w:tcW w:type="dxa" w:w="1170"/>
          </w:tcPr>
          <w:p>
            <w:r>
              <w:t>0.0080</w:t>
            </w:r>
          </w:p>
        </w:tc>
        <w:tc>
          <w:tcPr>
            <w:tcW w:type="dxa" w:w="1170"/>
          </w:tcPr>
          <w:p>
            <w:r>
              <w:t>statistically supported improvement</w:t>
            </w:r>
          </w:p>
        </w:tc>
      </w:tr>
      <w:tr>
        <w:tc>
          <w:tcPr>
            <w:tcW w:type="dxa" w:w="1170"/>
          </w:tcPr>
          <w:p>
            <w:r>
              <w:t>medium</w:t>
            </w:r>
          </w:p>
        </w:tc>
        <w:tc>
          <w:tcPr>
            <w:tcW w:type="dxa" w:w="1170"/>
          </w:tcPr>
          <w:p>
            <w:r>
              <w:t>C1</w:t>
            </w:r>
          </w:p>
        </w:tc>
        <w:tc>
          <w:tcPr>
            <w:tcW w:type="dxa" w:w="1170"/>
          </w:tcPr>
          <w:p>
            <w:r>
              <w:t>8.40</w:t>
            </w:r>
          </w:p>
        </w:tc>
        <w:tc>
          <w:tcPr>
            <w:tcW w:type="dxa" w:w="1170"/>
          </w:tcPr>
          <w:p>
            <w:r>
              <w:t>6.64</w:t>
            </w:r>
          </w:p>
        </w:tc>
        <w:tc>
          <w:tcPr>
            <w:tcW w:type="dxa" w:w="1170"/>
          </w:tcPr>
          <w:p>
            <w:r>
              <w:t>1.75</w:t>
            </w:r>
          </w:p>
        </w:tc>
        <w:tc>
          <w:tcPr>
            <w:tcW w:type="dxa" w:w="1170"/>
          </w:tcPr>
          <w:p>
            <w:r>
              <w:t>26.4%</w:t>
            </w:r>
          </w:p>
        </w:tc>
        <w:tc>
          <w:tcPr>
            <w:tcW w:type="dxa" w:w="1170"/>
          </w:tcPr>
          <w:p>
            <w:r>
              <w:t>0.2042</w:t>
            </w:r>
          </w:p>
        </w:tc>
        <w:tc>
          <w:tcPr>
            <w:tcW w:type="dxa" w:w="1170"/>
          </w:tcPr>
          <w:p>
            <w:r>
              <w:t>statistically unsupported degradation</w:t>
            </w:r>
          </w:p>
        </w:tc>
      </w:tr>
      <w:tr>
        <w:tc>
          <w:tcPr>
            <w:tcW w:type="dxa" w:w="1170"/>
          </w:tcPr>
          <w:p>
            <w:r>
              <w:t>medium</w:t>
            </w:r>
          </w:p>
        </w:tc>
        <w:tc>
          <w:tcPr>
            <w:tcW w:type="dxa" w:w="1170"/>
          </w:tcPr>
          <w:p>
            <w:r>
              <w:t>C2</w:t>
            </w:r>
          </w:p>
        </w:tc>
        <w:tc>
          <w:tcPr>
            <w:tcW w:type="dxa" w:w="1170"/>
          </w:tcPr>
          <w:p>
            <w:r>
              <w:t>8.40</w:t>
            </w:r>
          </w:p>
        </w:tc>
        <w:tc>
          <w:tcPr>
            <w:tcW w:type="dxa" w:w="1170"/>
          </w:tcPr>
          <w:p>
            <w:r>
              <w:t>6.81</w:t>
            </w:r>
          </w:p>
        </w:tc>
        <w:tc>
          <w:tcPr>
            <w:tcW w:type="dxa" w:w="1170"/>
          </w:tcPr>
          <w:p>
            <w:r>
              <w:t>1.59</w:t>
            </w:r>
          </w:p>
        </w:tc>
        <w:tc>
          <w:tcPr>
            <w:tcW w:type="dxa" w:w="1170"/>
          </w:tcPr>
          <w:p>
            <w:r>
              <w:t>23.4%</w:t>
            </w:r>
          </w:p>
        </w:tc>
        <w:tc>
          <w:tcPr>
            <w:tcW w:type="dxa" w:w="1170"/>
          </w:tcPr>
          <w:p>
            <w:r>
              <w:t>0.2151</w:t>
            </w:r>
          </w:p>
        </w:tc>
        <w:tc>
          <w:tcPr>
            <w:tcW w:type="dxa" w:w="1170"/>
          </w:tcPr>
          <w:p>
            <w:r>
              <w:t>statistically unsupported degradation</w:t>
            </w:r>
          </w:p>
        </w:tc>
      </w:tr>
      <w:tr>
        <w:tc>
          <w:tcPr>
            <w:tcW w:type="dxa" w:w="1170"/>
          </w:tcPr>
          <w:p>
            <w:r>
              <w:t>high</w:t>
            </w:r>
          </w:p>
        </w:tc>
        <w:tc>
          <w:tcPr>
            <w:tcW w:type="dxa" w:w="1170"/>
          </w:tcPr>
          <w:p>
            <w:r>
              <w:t>C0</w:t>
            </w:r>
          </w:p>
        </w:tc>
        <w:tc>
          <w:tcPr>
            <w:tcW w:type="dxa" w:w="1170"/>
          </w:tcPr>
          <w:p>
            <w:r>
              <w:t>49.66</w:t>
            </w:r>
          </w:p>
        </w:tc>
        <w:tc>
          <w:tcPr>
            <w:tcW w:type="dxa" w:w="1170"/>
          </w:tcPr>
          <w:p>
            <w:r>
              <w:t>75.62</w:t>
            </w:r>
          </w:p>
        </w:tc>
        <w:tc>
          <w:tcPr>
            <w:tcW w:type="dxa" w:w="1170"/>
          </w:tcPr>
          <w:p>
            <w:r>
              <w:t>-25.96</w:t>
            </w:r>
          </w:p>
        </w:tc>
        <w:tc>
          <w:tcPr>
            <w:tcW w:type="dxa" w:w="1170"/>
          </w:tcPr>
          <w:p>
            <w:r>
              <w:t>-34.3%</w:t>
            </w:r>
          </w:p>
        </w:tc>
        <w:tc>
          <w:tcPr>
            <w:tcW w:type="dxa" w:w="1170"/>
          </w:tcPr>
          <w:p>
            <w:r>
              <w:t>0.0209</w:t>
            </w:r>
          </w:p>
        </w:tc>
        <w:tc>
          <w:tcPr>
            <w:tcW w:type="dxa" w:w="1170"/>
          </w:tcPr>
          <w:p>
            <w:r>
              <w:t>statistically supported improvement</w:t>
            </w:r>
          </w:p>
        </w:tc>
      </w:tr>
      <w:tr>
        <w:tc>
          <w:tcPr>
            <w:tcW w:type="dxa" w:w="1170"/>
          </w:tcPr>
          <w:p>
            <w:r>
              <w:t>high</w:t>
            </w:r>
          </w:p>
        </w:tc>
        <w:tc>
          <w:tcPr>
            <w:tcW w:type="dxa" w:w="1170"/>
          </w:tcPr>
          <w:p>
            <w:r>
              <w:t>C1</w:t>
            </w:r>
          </w:p>
        </w:tc>
        <w:tc>
          <w:tcPr>
            <w:tcW w:type="dxa" w:w="1170"/>
          </w:tcPr>
          <w:p>
            <w:r>
              <w:t>49.66</w:t>
            </w:r>
          </w:p>
        </w:tc>
        <w:tc>
          <w:tcPr>
            <w:tcW w:type="dxa" w:w="1170"/>
          </w:tcPr>
          <w:p>
            <w:r>
              <w:t>43.22</w:t>
            </w:r>
          </w:p>
        </w:tc>
        <w:tc>
          <w:tcPr>
            <w:tcW w:type="dxa" w:w="1170"/>
          </w:tcPr>
          <w:p>
            <w:r>
              <w:t>6.44</w:t>
            </w:r>
          </w:p>
        </w:tc>
        <w:tc>
          <w:tcPr>
            <w:tcW w:type="dxa" w:w="1170"/>
          </w:tcPr>
          <w:p>
            <w:r>
              <w:t>14.9%</w:t>
            </w:r>
          </w:p>
        </w:tc>
        <w:tc>
          <w:tcPr>
            <w:tcW w:type="dxa" w:w="1170"/>
          </w:tcPr>
          <w:p>
            <w:r>
              <w:t>0.0686</w:t>
            </w:r>
          </w:p>
        </w:tc>
        <w:tc>
          <w:tcPr>
            <w:tcW w:type="dxa" w:w="1170"/>
          </w:tcPr>
          <w:p>
            <w:r>
              <w:t>statistically unsupported degradation</w:t>
            </w:r>
          </w:p>
        </w:tc>
      </w:tr>
      <w:tr>
        <w:tc>
          <w:tcPr>
            <w:tcW w:type="dxa" w:w="1170"/>
          </w:tcPr>
          <w:p>
            <w:r>
              <w:t>high</w:t>
            </w:r>
          </w:p>
        </w:tc>
        <w:tc>
          <w:tcPr>
            <w:tcW w:type="dxa" w:w="1170"/>
          </w:tcPr>
          <w:p>
            <w:r>
              <w:t>C2</w:t>
            </w:r>
          </w:p>
        </w:tc>
        <w:tc>
          <w:tcPr>
            <w:tcW w:type="dxa" w:w="1170"/>
          </w:tcPr>
          <w:p>
            <w:r>
              <w:t>49.66</w:t>
            </w:r>
          </w:p>
        </w:tc>
        <w:tc>
          <w:tcPr>
            <w:tcW w:type="dxa" w:w="1170"/>
          </w:tcPr>
          <w:p>
            <w:r>
              <w:t>44.91</w:t>
            </w:r>
          </w:p>
        </w:tc>
        <w:tc>
          <w:tcPr>
            <w:tcW w:type="dxa" w:w="1170"/>
          </w:tcPr>
          <w:p>
            <w:r>
              <w:t>4.75</w:t>
            </w:r>
          </w:p>
        </w:tc>
        <w:tc>
          <w:tcPr>
            <w:tcW w:type="dxa" w:w="1170"/>
          </w:tcPr>
          <w:p>
            <w:r>
              <w:t>10.6%</w:t>
            </w:r>
          </w:p>
        </w:tc>
        <w:tc>
          <w:tcPr>
            <w:tcW w:type="dxa" w:w="1170"/>
          </w:tcPr>
          <w:p>
            <w:r>
              <w:t>0.2254</w:t>
            </w:r>
          </w:p>
        </w:tc>
        <w:tc>
          <w:tcPr>
            <w:tcW w:type="dxa" w:w="1170"/>
          </w:tcPr>
          <w:p>
            <w:r>
              <w:t>statistically unsupported degradation</w:t>
            </w:r>
          </w:p>
        </w:tc>
      </w:tr>
      <w:tr>
        <w:tc>
          <w:tcPr>
            <w:tcW w:type="dxa" w:w="1170"/>
          </w:tcPr>
          <w:p>
            <w:r>
              <w:t>oversaturated</w:t>
            </w:r>
          </w:p>
        </w:tc>
        <w:tc>
          <w:tcPr>
            <w:tcW w:type="dxa" w:w="1170"/>
          </w:tcPr>
          <w:p>
            <w:r>
              <w:t>C0</w:t>
            </w:r>
          </w:p>
        </w:tc>
        <w:tc>
          <w:tcPr>
            <w:tcW w:type="dxa" w:w="1170"/>
          </w:tcPr>
          <w:p>
            <w:r>
              <w:t>71.18</w:t>
            </w:r>
          </w:p>
        </w:tc>
        <w:tc>
          <w:tcPr>
            <w:tcW w:type="dxa" w:w="1170"/>
          </w:tcPr>
          <w:p>
            <w:r>
              <w:t>86.61</w:t>
            </w:r>
          </w:p>
        </w:tc>
        <w:tc>
          <w:tcPr>
            <w:tcW w:type="dxa" w:w="1170"/>
          </w:tcPr>
          <w:p>
            <w:r>
              <w:t>-15.43</w:t>
            </w:r>
          </w:p>
        </w:tc>
        <w:tc>
          <w:tcPr>
            <w:tcW w:type="dxa" w:w="1170"/>
          </w:tcPr>
          <w:p>
            <w:r>
              <w:t>-17.8%</w:t>
            </w:r>
          </w:p>
        </w:tc>
        <w:tc>
          <w:tcPr>
            <w:tcW w:type="dxa" w:w="1170"/>
          </w:tcPr>
          <w:p>
            <w:r>
              <w:t>0.0686</w:t>
            </w:r>
          </w:p>
        </w:tc>
        <w:tc>
          <w:tcPr>
            <w:tcW w:type="dxa" w:w="1170"/>
          </w:tcPr>
          <w:p>
            <w:r>
              <w:t>statistically unsupported improvement</w:t>
            </w:r>
          </w:p>
        </w:tc>
      </w:tr>
      <w:tr>
        <w:tc>
          <w:tcPr>
            <w:tcW w:type="dxa" w:w="1170"/>
          </w:tcPr>
          <w:p>
            <w:r>
              <w:t>oversaturated</w:t>
            </w:r>
          </w:p>
        </w:tc>
        <w:tc>
          <w:tcPr>
            <w:tcW w:type="dxa" w:w="1170"/>
          </w:tcPr>
          <w:p>
            <w:r>
              <w:t>C1</w:t>
            </w:r>
          </w:p>
        </w:tc>
        <w:tc>
          <w:tcPr>
            <w:tcW w:type="dxa" w:w="1170"/>
          </w:tcPr>
          <w:p>
            <w:r>
              <w:t>71.18</w:t>
            </w:r>
          </w:p>
        </w:tc>
        <w:tc>
          <w:tcPr>
            <w:tcW w:type="dxa" w:w="1170"/>
          </w:tcPr>
          <w:p>
            <w:r>
              <w:t>67.87</w:t>
            </w:r>
          </w:p>
        </w:tc>
        <w:tc>
          <w:tcPr>
            <w:tcW w:type="dxa" w:w="1170"/>
          </w:tcPr>
          <w:p>
            <w:r>
              <w:t>3.31</w:t>
            </w:r>
          </w:p>
        </w:tc>
        <w:tc>
          <w:tcPr>
            <w:tcW w:type="dxa" w:w="1170"/>
          </w:tcPr>
          <w:p>
            <w:r>
              <w:t>4.9%</w:t>
            </w:r>
          </w:p>
        </w:tc>
        <w:tc>
          <w:tcPr>
            <w:tcW w:type="dxa" w:w="1170"/>
          </w:tcPr>
          <w:p>
            <w:r>
              <w:t>0.2151</w:t>
            </w:r>
          </w:p>
        </w:tc>
        <w:tc>
          <w:tcPr>
            <w:tcW w:type="dxa" w:w="1170"/>
          </w:tcPr>
          <w:p>
            <w:r>
              <w:t>statistically unsupported degradation</w:t>
            </w:r>
          </w:p>
        </w:tc>
      </w:tr>
      <w:tr>
        <w:tc>
          <w:tcPr>
            <w:tcW w:type="dxa" w:w="1170"/>
          </w:tcPr>
          <w:p>
            <w:r>
              <w:t>oversaturated</w:t>
            </w:r>
          </w:p>
        </w:tc>
        <w:tc>
          <w:tcPr>
            <w:tcW w:type="dxa" w:w="1170"/>
          </w:tcPr>
          <w:p>
            <w:r>
              <w:t>C2</w:t>
            </w:r>
          </w:p>
        </w:tc>
        <w:tc>
          <w:tcPr>
            <w:tcW w:type="dxa" w:w="1170"/>
          </w:tcPr>
          <w:p>
            <w:r>
              <w:t>71.18</w:t>
            </w:r>
          </w:p>
        </w:tc>
        <w:tc>
          <w:tcPr>
            <w:tcW w:type="dxa" w:w="1170"/>
          </w:tcPr>
          <w:p>
            <w:r>
              <w:t>71.18</w:t>
            </w:r>
          </w:p>
        </w:tc>
        <w:tc>
          <w:tcPr>
            <w:tcW w:type="dxa" w:w="1170"/>
          </w:tcPr>
          <w:p>
            <w:r>
              <w:t>0.00</w:t>
            </w:r>
          </w:p>
        </w:tc>
        <w:tc>
          <w:tcPr>
            <w:tcW w:type="dxa" w:w="1170"/>
          </w:tcPr>
          <w:p>
            <w:r>
              <w:t>0.0%</w:t>
            </w:r>
          </w:p>
        </w:tc>
        <w:tc>
          <w:tcPr>
            <w:tcW w:type="dxa" w:w="1170"/>
          </w:tcPr>
          <w:p>
            <w:r>
              <w:t>1.0000</w:t>
            </w:r>
          </w:p>
        </w:tc>
        <w:tc>
          <w:tcPr>
            <w:tcW w:type="dxa" w:w="1170"/>
          </w:tcPr>
          <w:p>
            <w:r>
              <w:t>no statistically detectable difference</w:t>
            </w:r>
          </w:p>
        </w:tc>
      </w:tr>
      <w:tr>
        <w:tc>
          <w:tcPr>
            <w:tcW w:type="dxa" w:w="1170"/>
          </w:tcPr>
          <w:p>
            <w:r>
              <w:t>asym_ns</w:t>
            </w:r>
          </w:p>
        </w:tc>
        <w:tc>
          <w:tcPr>
            <w:tcW w:type="dxa" w:w="1170"/>
          </w:tcPr>
          <w:p>
            <w:r>
              <w:t>C0</w:t>
            </w:r>
          </w:p>
        </w:tc>
        <w:tc>
          <w:tcPr>
            <w:tcW w:type="dxa" w:w="1170"/>
          </w:tcPr>
          <w:p>
            <w:r>
              <w:t>13.38</w:t>
            </w:r>
          </w:p>
        </w:tc>
        <w:tc>
          <w:tcPr>
            <w:tcW w:type="dxa" w:w="1170"/>
          </w:tcPr>
          <w:p>
            <w:r>
              <w:t>59.55</w:t>
            </w:r>
          </w:p>
        </w:tc>
        <w:tc>
          <w:tcPr>
            <w:tcW w:type="dxa" w:w="1170"/>
          </w:tcPr>
          <w:p>
            <w:r>
              <w:t>-46.17</w:t>
            </w:r>
          </w:p>
        </w:tc>
        <w:tc>
          <w:tcPr>
            <w:tcW w:type="dxa" w:w="1170"/>
          </w:tcPr>
          <w:p>
            <w:r>
              <w:t>-77.5%</w:t>
            </w:r>
          </w:p>
        </w:tc>
        <w:tc>
          <w:tcPr>
            <w:tcW w:type="dxa" w:w="1170"/>
          </w:tcPr>
          <w:p>
            <w:r>
              <w:t>0.0001</w:t>
            </w:r>
          </w:p>
        </w:tc>
        <w:tc>
          <w:tcPr>
            <w:tcW w:type="dxa" w:w="1170"/>
          </w:tcPr>
          <w:p>
            <w:r>
              <w:t>statistically supported improvement</w:t>
            </w:r>
          </w:p>
        </w:tc>
      </w:tr>
      <w:tr>
        <w:tc>
          <w:tcPr>
            <w:tcW w:type="dxa" w:w="1170"/>
          </w:tcPr>
          <w:p>
            <w:r>
              <w:t>asym_ns</w:t>
            </w:r>
          </w:p>
        </w:tc>
        <w:tc>
          <w:tcPr>
            <w:tcW w:type="dxa" w:w="1170"/>
          </w:tcPr>
          <w:p>
            <w:r>
              <w:t>C1</w:t>
            </w:r>
          </w:p>
        </w:tc>
        <w:tc>
          <w:tcPr>
            <w:tcW w:type="dxa" w:w="1170"/>
          </w:tcPr>
          <w:p>
            <w:r>
              <w:t>13.38</w:t>
            </w:r>
          </w:p>
        </w:tc>
        <w:tc>
          <w:tcPr>
            <w:tcW w:type="dxa" w:w="1170"/>
          </w:tcPr>
          <w:p>
            <w:r>
              <w:t>36.31</w:t>
            </w:r>
          </w:p>
        </w:tc>
        <w:tc>
          <w:tcPr>
            <w:tcW w:type="dxa" w:w="1170"/>
          </w:tcPr>
          <w:p>
            <w:r>
              <w:t>-22.93</w:t>
            </w:r>
          </w:p>
        </w:tc>
        <w:tc>
          <w:tcPr>
            <w:tcW w:type="dxa" w:w="1170"/>
          </w:tcPr>
          <w:p>
            <w:r>
              <w:t>-63.2%</w:t>
            </w:r>
          </w:p>
        </w:tc>
        <w:tc>
          <w:tcPr>
            <w:tcW w:type="dxa" w:w="1170"/>
          </w:tcPr>
          <w:p>
            <w:r>
              <w:t>0.0347</w:t>
            </w:r>
          </w:p>
        </w:tc>
        <w:tc>
          <w:tcPr>
            <w:tcW w:type="dxa" w:w="1170"/>
          </w:tcPr>
          <w:p>
            <w:r>
              <w:t>statistically supported improvement</w:t>
            </w:r>
          </w:p>
        </w:tc>
      </w:tr>
      <w:tr>
        <w:tc>
          <w:tcPr>
            <w:tcW w:type="dxa" w:w="1170"/>
          </w:tcPr>
          <w:p>
            <w:r>
              <w:t>asym_ns</w:t>
            </w:r>
          </w:p>
        </w:tc>
        <w:tc>
          <w:tcPr>
            <w:tcW w:type="dxa" w:w="1170"/>
          </w:tcPr>
          <w:p>
            <w:r>
              <w:t>C2</w:t>
            </w:r>
          </w:p>
        </w:tc>
        <w:tc>
          <w:tcPr>
            <w:tcW w:type="dxa" w:w="1170"/>
          </w:tcPr>
          <w:p>
            <w:r>
              <w:t>13.38</w:t>
            </w:r>
          </w:p>
        </w:tc>
        <w:tc>
          <w:tcPr>
            <w:tcW w:type="dxa" w:w="1170"/>
          </w:tcPr>
          <w:p>
            <w:r>
              <w:t>16.17</w:t>
            </w:r>
          </w:p>
        </w:tc>
        <w:tc>
          <w:tcPr>
            <w:tcW w:type="dxa" w:w="1170"/>
          </w:tcPr>
          <w:p>
            <w:r>
              <w:t>-2.80</w:t>
            </w:r>
          </w:p>
        </w:tc>
        <w:tc>
          <w:tcPr>
            <w:tcW w:type="dxa" w:w="1170"/>
          </w:tcPr>
          <w:p>
            <w:r>
              <w:t>-17.3%</w:t>
            </w:r>
          </w:p>
        </w:tc>
        <w:tc>
          <w:tcPr>
            <w:tcW w:type="dxa" w:w="1170"/>
          </w:tcPr>
          <w:p>
            <w:r>
              <w:t>0.2402</w:t>
            </w:r>
          </w:p>
        </w:tc>
        <w:tc>
          <w:tcPr>
            <w:tcW w:type="dxa" w:w="1170"/>
          </w:tcPr>
          <w:p>
            <w:r>
              <w:t>statistically unsupported improvement</w:t>
            </w:r>
          </w:p>
        </w:tc>
      </w:tr>
      <w:tr>
        <w:tc>
          <w:tcPr>
            <w:tcW w:type="dxa" w:w="1170"/>
          </w:tcPr>
          <w:p>
            <w:r>
              <w:t>asym_ew</w:t>
            </w:r>
          </w:p>
        </w:tc>
        <w:tc>
          <w:tcPr>
            <w:tcW w:type="dxa" w:w="1170"/>
          </w:tcPr>
          <w:p>
            <w:r>
              <w:t>C0</w:t>
            </w:r>
          </w:p>
        </w:tc>
        <w:tc>
          <w:tcPr>
            <w:tcW w:type="dxa" w:w="1170"/>
          </w:tcPr>
          <w:p>
            <w:r>
              <w:t>12.51</w:t>
            </w:r>
          </w:p>
        </w:tc>
        <w:tc>
          <w:tcPr>
            <w:tcW w:type="dxa" w:w="1170"/>
          </w:tcPr>
          <w:p>
            <w:r>
              <w:t>67.51</w:t>
            </w:r>
          </w:p>
        </w:tc>
        <w:tc>
          <w:tcPr>
            <w:tcW w:type="dxa" w:w="1170"/>
          </w:tcPr>
          <w:p>
            <w:r>
              <w:t>-55.01</w:t>
            </w:r>
          </w:p>
        </w:tc>
        <w:tc>
          <w:tcPr>
            <w:tcW w:type="dxa" w:w="1170"/>
          </w:tcPr>
          <w:p>
            <w:r>
              <w:t>-81.5%</w:t>
            </w:r>
          </w:p>
        </w:tc>
        <w:tc>
          <w:tcPr>
            <w:tcW w:type="dxa" w:w="1170"/>
          </w:tcPr>
          <w:p>
            <w:r>
              <w:t>0.0001</w:t>
            </w:r>
          </w:p>
        </w:tc>
        <w:tc>
          <w:tcPr>
            <w:tcW w:type="dxa" w:w="1170"/>
          </w:tcPr>
          <w:p>
            <w:r>
              <w:t>statistically supported improvement</w:t>
            </w:r>
          </w:p>
        </w:tc>
      </w:tr>
      <w:tr>
        <w:tc>
          <w:tcPr>
            <w:tcW w:type="dxa" w:w="1170"/>
          </w:tcPr>
          <w:p>
            <w:r>
              <w:t>asym_ew</w:t>
            </w:r>
          </w:p>
        </w:tc>
        <w:tc>
          <w:tcPr>
            <w:tcW w:type="dxa" w:w="1170"/>
          </w:tcPr>
          <w:p>
            <w:r>
              <w:t>C1</w:t>
            </w:r>
          </w:p>
        </w:tc>
        <w:tc>
          <w:tcPr>
            <w:tcW w:type="dxa" w:w="1170"/>
          </w:tcPr>
          <w:p>
            <w:r>
              <w:t>12.51</w:t>
            </w:r>
          </w:p>
        </w:tc>
        <w:tc>
          <w:tcPr>
            <w:tcW w:type="dxa" w:w="1170"/>
          </w:tcPr>
          <w:p>
            <w:r>
              <w:t>32.60</w:t>
            </w:r>
          </w:p>
        </w:tc>
        <w:tc>
          <w:tcPr>
            <w:tcW w:type="dxa" w:w="1170"/>
          </w:tcPr>
          <w:p>
            <w:r>
              <w:t>-20.09</w:t>
            </w:r>
          </w:p>
        </w:tc>
        <w:tc>
          <w:tcPr>
            <w:tcW w:type="dxa" w:w="1170"/>
          </w:tcPr>
          <w:p>
            <w:r>
              <w:t>-61.6%</w:t>
            </w:r>
          </w:p>
        </w:tc>
        <w:tc>
          <w:tcPr>
            <w:tcW w:type="dxa" w:w="1170"/>
          </w:tcPr>
          <w:p>
            <w:r>
              <w:t>0.0392</w:t>
            </w:r>
          </w:p>
        </w:tc>
        <w:tc>
          <w:tcPr>
            <w:tcW w:type="dxa" w:w="1170"/>
          </w:tcPr>
          <w:p>
            <w:r>
              <w:t>statistically supported improvement</w:t>
            </w:r>
          </w:p>
        </w:tc>
      </w:tr>
      <w:tr>
        <w:tc>
          <w:tcPr>
            <w:tcW w:type="dxa" w:w="1170"/>
          </w:tcPr>
          <w:p>
            <w:r>
              <w:t>asym_ew</w:t>
            </w:r>
          </w:p>
        </w:tc>
        <w:tc>
          <w:tcPr>
            <w:tcW w:type="dxa" w:w="1170"/>
          </w:tcPr>
          <w:p>
            <w:r>
              <w:t>C2</w:t>
            </w:r>
          </w:p>
        </w:tc>
        <w:tc>
          <w:tcPr>
            <w:tcW w:type="dxa" w:w="1170"/>
          </w:tcPr>
          <w:p>
            <w:r>
              <w:t>12.51</w:t>
            </w:r>
          </w:p>
        </w:tc>
        <w:tc>
          <w:tcPr>
            <w:tcW w:type="dxa" w:w="1170"/>
          </w:tcPr>
          <w:p>
            <w:r>
              <w:t>18.17</w:t>
            </w:r>
          </w:p>
        </w:tc>
        <w:tc>
          <w:tcPr>
            <w:tcW w:type="dxa" w:w="1170"/>
          </w:tcPr>
          <w:p>
            <w:r>
              <w:t>-5.67</w:t>
            </w:r>
          </w:p>
        </w:tc>
        <w:tc>
          <w:tcPr>
            <w:tcW w:type="dxa" w:w="1170"/>
          </w:tcPr>
          <w:p>
            <w:r>
              <w:t>-31.2%</w:t>
            </w:r>
          </w:p>
        </w:tc>
        <w:tc>
          <w:tcPr>
            <w:tcW w:type="dxa" w:w="1170"/>
          </w:tcPr>
          <w:p>
            <w:r>
              <w:t>0.2522</w:t>
            </w:r>
          </w:p>
        </w:tc>
        <w:tc>
          <w:tcPr>
            <w:tcW w:type="dxa" w:w="1170"/>
          </w:tcPr>
          <w:p>
            <w:r>
              <w:t>statistically unsupported improvement</w:t>
            </w:r>
          </w:p>
        </w:tc>
      </w:tr>
      <w:tr>
        <w:tc>
          <w:tcPr>
            <w:tcW w:type="dxa" w:w="1170"/>
          </w:tcPr>
          <w:p>
            <w:r>
              <w:t>dynamic</w:t>
            </w:r>
          </w:p>
        </w:tc>
        <w:tc>
          <w:tcPr>
            <w:tcW w:type="dxa" w:w="1170"/>
          </w:tcPr>
          <w:p>
            <w:r>
              <w:t>C0</w:t>
            </w:r>
          </w:p>
        </w:tc>
        <w:tc>
          <w:tcPr>
            <w:tcW w:type="dxa" w:w="1170"/>
          </w:tcPr>
          <w:p>
            <w:r>
              <w:t>30.22</w:t>
            </w:r>
          </w:p>
        </w:tc>
        <w:tc>
          <w:tcPr>
            <w:tcW w:type="dxa" w:w="1170"/>
          </w:tcPr>
          <w:p>
            <w:r>
              <w:t>58.54</w:t>
            </w:r>
          </w:p>
        </w:tc>
        <w:tc>
          <w:tcPr>
            <w:tcW w:type="dxa" w:w="1170"/>
          </w:tcPr>
          <w:p>
            <w:r>
              <w:t>-28.32</w:t>
            </w:r>
          </w:p>
        </w:tc>
        <w:tc>
          <w:tcPr>
            <w:tcW w:type="dxa" w:w="1170"/>
          </w:tcPr>
          <w:p>
            <w:r>
              <w:t>-48.4%</w:t>
            </w:r>
          </w:p>
        </w:tc>
        <w:tc>
          <w:tcPr>
            <w:tcW w:type="dxa" w:w="1170"/>
          </w:tcPr>
          <w:p>
            <w:r>
              <w:t>0.0035</w:t>
            </w:r>
          </w:p>
        </w:tc>
        <w:tc>
          <w:tcPr>
            <w:tcW w:type="dxa" w:w="1170"/>
          </w:tcPr>
          <w:p>
            <w:r>
              <w:t>statistically supported improvement</w:t>
            </w:r>
          </w:p>
        </w:tc>
      </w:tr>
      <w:tr>
        <w:tc>
          <w:tcPr>
            <w:tcW w:type="dxa" w:w="1170"/>
          </w:tcPr>
          <w:p>
            <w:r>
              <w:t>dynamic</w:t>
            </w:r>
          </w:p>
        </w:tc>
        <w:tc>
          <w:tcPr>
            <w:tcW w:type="dxa" w:w="1170"/>
          </w:tcPr>
          <w:p>
            <w:r>
              <w:t>C1</w:t>
            </w:r>
          </w:p>
        </w:tc>
        <w:tc>
          <w:tcPr>
            <w:tcW w:type="dxa" w:w="1170"/>
          </w:tcPr>
          <w:p>
            <w:r>
              <w:t>30.22</w:t>
            </w:r>
          </w:p>
        </w:tc>
        <w:tc>
          <w:tcPr>
            <w:tcW w:type="dxa" w:w="1170"/>
          </w:tcPr>
          <w:p>
            <w:r>
              <w:t>30.82</w:t>
            </w:r>
          </w:p>
        </w:tc>
        <w:tc>
          <w:tcPr>
            <w:tcW w:type="dxa" w:w="1170"/>
          </w:tcPr>
          <w:p>
            <w:r>
              <w:t>-0.60</w:t>
            </w:r>
          </w:p>
        </w:tc>
        <w:tc>
          <w:tcPr>
            <w:tcW w:type="dxa" w:w="1170"/>
          </w:tcPr>
          <w:p>
            <w:r>
              <w:t>-1.9%</w:t>
            </w:r>
          </w:p>
        </w:tc>
        <w:tc>
          <w:tcPr>
            <w:tcW w:type="dxa" w:w="1170"/>
          </w:tcPr>
          <w:p>
            <w:r>
              <w:t>0.7103</w:t>
            </w:r>
          </w:p>
        </w:tc>
        <w:tc>
          <w:tcPr>
            <w:tcW w:type="dxa" w:w="1170"/>
          </w:tcPr>
          <w:p>
            <w:r>
              <w:t>statistically unsupported improvement</w:t>
            </w:r>
          </w:p>
        </w:tc>
      </w:tr>
      <w:tr>
        <w:tc>
          <w:tcPr>
            <w:tcW w:type="dxa" w:w="1170"/>
          </w:tcPr>
          <w:p>
            <w:r>
              <w:t>dynamic</w:t>
            </w:r>
          </w:p>
        </w:tc>
        <w:tc>
          <w:tcPr>
            <w:tcW w:type="dxa" w:w="1170"/>
          </w:tcPr>
          <w:p>
            <w:r>
              <w:t>C2</w:t>
            </w:r>
          </w:p>
        </w:tc>
        <w:tc>
          <w:tcPr>
            <w:tcW w:type="dxa" w:w="1170"/>
          </w:tcPr>
          <w:p>
            <w:r>
              <w:t>30.22</w:t>
            </w:r>
          </w:p>
        </w:tc>
        <w:tc>
          <w:tcPr>
            <w:tcW w:type="dxa" w:w="1170"/>
          </w:tcPr>
          <w:p>
            <w:r>
              <w:t>31.21</w:t>
            </w:r>
          </w:p>
        </w:tc>
        <w:tc>
          <w:tcPr>
            <w:tcW w:type="dxa" w:w="1170"/>
          </w:tcPr>
          <w:p>
            <w:r>
              <w:t>-0.99</w:t>
            </w:r>
          </w:p>
        </w:tc>
        <w:tc>
          <w:tcPr>
            <w:tcW w:type="dxa" w:w="1170"/>
          </w:tcPr>
          <w:p>
            <w:r>
              <w:t>-3.2%</w:t>
            </w:r>
          </w:p>
        </w:tc>
        <w:tc>
          <w:tcPr>
            <w:tcW w:type="dxa" w:w="1170"/>
          </w:tcPr>
          <w:p>
            <w:r>
              <w:t>0.6891</w:t>
            </w:r>
          </w:p>
        </w:tc>
        <w:tc>
          <w:tcPr>
            <w:tcW w:type="dxa" w:w="1170"/>
          </w:tcPr>
          <w:p>
            <w:r>
              <w:t>statistically unsupported improvement</w:t>
            </w:r>
          </w:p>
        </w:tc>
      </w:tr>
    </w:tbl>
    <w:p/>
    <w:p>
      <w:pPr>
        <w:pStyle w:val="Heading2"/>
      </w:pPr>
      <w:r>
        <w:t>6.1 Scenario-Level Performance Findings</w:t>
      </w:r>
    </w:p>
    <w:p>
      <w:r>
        <w:t>Directional Asymmetry (asym_ns, asym_ew): In asymmetric demand regimes, C3 demonstrates substantial, statistically supported improvements over Webster-calibrated fixed-time C1, reducing waiting time by 63.2% in asym_ns (q = 0.0347) and 61.6% in asym_ew (q = 0.0392). Fixed timing penalizes heavy arterial flows through equal split allocations, whereas C3 dynamically allocates green capacity to the dominant approach.</w:t>
      </w:r>
    </w:p>
    <w:p>
      <w:r>
        <w:t>Symmetric Balanced Regimes (low, medium, high): Under balanced flows, C3 outperforms uncalibrated C0 by 34.3% to 63.8%, but does not outperform Webster-calibrated C1. In low, C3 and C1 are indistinguishable (4.32 s vs 4.56 s, p = 0.542). In medium and high, C1 achieves lower waiting times (1.75 s lower in medium, 6.44 s lower in high), though non-significant after FDR correction (q = 0.204 and q = 0.069). Under balanced traffic, rapid 36-second cycles eliminate green holding delay.</w:t>
      </w:r>
    </w:p>
    <w:p>
      <w:r>
        <w:t>Phase Switching Stability (Secondary Exploratory Metric): Across all seven scenarios, C3 achieves a statistically significant 4.6% to 20.3% reduction in phase switch transitions compared to basic queue control C2 (p &lt; 0.028 in all scenarios), confirming that queue growth smoothing and hysteresis prevent phase hunting.</w:t>
      </w:r>
    </w:p>
    <w:p>
      <w:pPr>
        <w:pStyle w:val="Heading1"/>
      </w:pPr>
      <w:r>
        <w:t>7. Discussion</w:t>
      </w:r>
    </w:p>
    <w:p>
      <w:r>
        <w:t>The empirical findings refute the claim that any single signal controller is globally optimal across all traffic conditions. Well-calibrated fixed-time control (C1) provides an exceptionally effective baseline under symmetric steady-state flow, where zero-detector cycle predictability eliminates estimation variance. However, fixed-time control breaks down under directional asymmetry. The proposed controller successfully resolves this failure mode, achieving &gt; 60% delay reductions under asymmetry while suppressing erratic switching across all regimes.</w:t>
      </w:r>
    </w:p>
    <w:p>
      <w:pPr>
        <w:pStyle w:val="Heading1"/>
      </w:pPr>
      <w:r>
        <w:t>8. Potential Real-World Deployment Architecture</w:t>
      </w:r>
    </w:p>
    <w:p>
      <w:r>
        <w:t>In a physical deployment, traffic observables could be obtained using stop-bar video cameras, radar sensors, advance inductive loops, or connected vehicle basic safety messages. The average computational cost per control step is under 0.5 ms, well within the 1000 ms real-time processing window of commercial NEMA TS2 controllers. If sensor failure occurs, the controller can immediately fall back to the Webster-calibrated 36-second static plan (C1). The present study evaluates the controller in a SUMO simulation environment; physical sensing modalities were not experimentally deployed in this study.</w:t>
      </w:r>
    </w:p>
    <w:p>
      <w:pPr>
        <w:pStyle w:val="Heading1"/>
      </w:pPr>
      <w:r>
        <w:t>9. Limitations and Future Work</w:t>
      </w:r>
    </w:p>
    <w:p>
      <w:r>
        <w:t>This research is subject to specific limitations: (1) simulation-only validation in SUMO without physical hardware noise, (2) single-intersection network topology without corridor progression, (3) absence of pedestrian and emergency vehicle actuations, and (4) small evaluation sample size (N = 5 realizations per scenario), which limits statistical power for subtle treatment effects (|dz| &lt; 1.0) and imposes a rank floor on non-parametric Wilcoxon tests (p_min = 0.0625). Future research will evaluate multi-intersection arterial networks and pedestrian safety intervals.</w:t>
      </w:r>
    </w:p>
    <w:p>
      <w:pPr>
        <w:pStyle w:val="Heading1"/>
      </w:pPr>
      <w:r>
        <w:t>10. Conclusions</w:t>
      </w:r>
    </w:p>
    <w:p>
      <w:r>
        <w:t>This research developed and evaluated a multi-factor adaptive traffic signal controller incorporating queue state, arrival pressure, queue growth finite differences, waiting burden, red-age fairness, and switching hysteresis. Evaluated across 140 simulation runs in Eclipse SUMO, the findings confirm that the controller's primary benefit is concentrated under directional demand asymmetry (reducing waiting times by 61.6% to 63.2% relative to calibrated fixed timing) and in universal phase switching stabilization (4.6% to 20.3% fewer transitions). Under balanced steady-state demand, calibrated fixed timing remains competitive. The controller does not demonstrate generalized superiority everywhere, but provides targeted benefits under asymmetric and dynamic traffic regimes.</w:t>
      </w:r>
    </w:p>
    <w:p>
      <w:pPr>
        <w:pStyle w:val="Heading1"/>
      </w:pPr>
      <w:r>
        <w:t>Declarations</w:t>
      </w:r>
    </w:p>
    <w:p>
      <w:r>
        <w:t>Funding: This research received no external grant funding.</w:t>
        <w:br/>
        <w:t>Conflict of Interest: The authors declare that they have no competing financial or personal interests.</w:t>
        <w:br/>
        <w:t>Data Availability: All simulation network files, route scripts, and raw per-seed output datasets are available in the public project repository.</w:t>
        <w:br/>
        <w:t>Author Contributions: Conceptualization, methodology, software implementation, validation, formal analysis, and manuscript preparation were executed by the research team.</w:t>
      </w:r>
    </w:p>
    <w:p>
      <w:pPr>
        <w:pStyle w:val="Heading1"/>
      </w:pPr>
      <w:r>
        <w:t>References</w:t>
      </w:r>
    </w:p>
    <w:p>
      <w:pPr>
        <w:spacing w:line="276" w:lineRule="auto"/>
        <w:ind w:left="720" w:hanging="720"/>
      </w:pPr>
      <w:r>
        <w:t>Arel, E., Liu, C., Urbanik, T., &amp; Kohls, A. G. (2010). Reinforcement learning-based multi-agent system for network traffic signal control. IET Intelligent Transport Systems, 4(2), 128-135. https://doi.org/10.1049/iet-its.2009.0070</w:t>
      </w:r>
    </w:p>
    <w:p>
      <w:pPr>
        <w:spacing w:line="276" w:lineRule="auto"/>
        <w:ind w:left="720" w:hanging="720"/>
      </w:pPr>
      <w:r>
        <w:t>Benjamini, Y., &amp; Hochberg, Y. (1995). Controlling the false discovery rate: A practical and powerful approach to multiple testing. Journal of the Royal Statistical Society: Series B (Methodological), 57(1), 289-300. https://doi.org/10.1111/j.2517-6161.1995.tb02031.x</w:t>
      </w:r>
    </w:p>
    <w:p>
      <w:pPr>
        <w:spacing w:line="276" w:lineRule="auto"/>
        <w:ind w:left="720" w:hanging="720"/>
      </w:pPr>
      <w:r>
        <w:t>Cohen, J. (1988). Statistical Power Analysis for the Behavioral Sciences (2nd ed.). Lawrence Erlbaum Associates.</w:t>
      </w:r>
    </w:p>
    <w:p>
      <w:pPr>
        <w:spacing w:line="276" w:lineRule="auto"/>
        <w:ind w:left="720" w:hanging="720"/>
      </w:pPr>
      <w:r>
        <w:t>Cools, S. B., Gershenson, C., &amp; Hoogendoorn, S. P. (2013). Self-organizing traffic lights: A realistic simulation. In Self-Organizing Systems (LNCS 8221, pp. 45-55). Springer. https://doi.org/10.1007/978-3-642-54124-7_5</w:t>
      </w:r>
    </w:p>
    <w:p>
      <w:pPr>
        <w:spacing w:line="276" w:lineRule="auto"/>
        <w:ind w:left="720" w:hanging="720"/>
      </w:pPr>
      <w:r>
        <w:t>Gartner, N. H. (1983). OPAC: A strategy for online computer control of traffic signals. Transportation Research Record, 906, 1-7.</w:t>
      </w:r>
    </w:p>
    <w:p>
      <w:pPr>
        <w:spacing w:line="276" w:lineRule="auto"/>
        <w:ind w:left="720" w:hanging="720"/>
      </w:pPr>
      <w:r>
        <w:t>Genders, W., &amp; Razavi, S. (2016). Using deep reinforcement learning to model traffic signal control. Transportation Research Record, 2588(1), 26-34. https://doi.org/10.3141/2588-04</w:t>
      </w:r>
    </w:p>
    <w:p>
      <w:pPr>
        <w:spacing w:line="276" w:lineRule="auto"/>
        <w:ind w:left="720" w:hanging="720"/>
      </w:pPr>
      <w:r>
        <w:t>Gershenson, C. (2005). Self-organizing traffic lights. Complex Systems, 16(1), 29-53.</w:t>
      </w:r>
    </w:p>
    <w:p>
      <w:pPr>
        <w:spacing w:line="276" w:lineRule="auto"/>
        <w:ind w:left="720" w:hanging="720"/>
      </w:pPr>
      <w:r>
        <w:t>Holm, S. (1979). A simple sequentially rejective multiple test procedure. Scandinavian Journal of Statistics, 6(2), 65-70.</w:t>
      </w:r>
    </w:p>
    <w:p>
      <w:pPr>
        <w:spacing w:line="276" w:lineRule="auto"/>
        <w:ind w:left="720" w:hanging="720"/>
      </w:pPr>
      <w:r>
        <w:t>Hunt, P. B., Robertson, D. I., Bretherton, R. D., &amp; Winton, R. I. (1981). SCOOT - A traffic responsive method of coordinating traffic signals. TRRL Laboratory Report 1014.</w:t>
      </w:r>
    </w:p>
    <w:p>
      <w:pPr>
        <w:spacing w:line="276" w:lineRule="auto"/>
        <w:ind w:left="720" w:hanging="720"/>
      </w:pPr>
      <w:r>
        <w:t>Hurlbert, S. H. (1984). Pseudoreplication and the design of ecological field experiments. Ecological Monographs, 54(2), 187-211. https://doi.org/10.2307/1942661</w:t>
      </w:r>
    </w:p>
    <w:p>
      <w:pPr>
        <w:spacing w:line="276" w:lineRule="auto"/>
        <w:ind w:left="720" w:hanging="720"/>
      </w:pPr>
      <w:r>
        <w:t>Kouvelas, A., Saeedmanesh, M., &amp; Geroliminis, N. (2014). Maximum pressure traffic signal control using perimeter flow regulation in urban networks. Transportation Research Board 93rd Annual Meeting, 14-4113.</w:t>
      </w:r>
    </w:p>
    <w:p>
      <w:pPr>
        <w:spacing w:line="276" w:lineRule="auto"/>
        <w:ind w:left="720" w:hanging="720"/>
      </w:pPr>
      <w:r>
        <w:t>Lopez, P. A., Behrisch, M., Bieker-Walz, L., Erdmann, J., Flötteröd, Y. P., Hilbrich, R., Lücken, L., Rummel, J., Wagner, P., &amp; Wießner, E. (2018). Microscopic traffic simulation using SUMO. 21st International Conference on Intelligent Transportation Systems (ITSC), 2575-2582. https://doi.org/10.1109/ITSC.2018.8569938</w:t>
      </w:r>
    </w:p>
    <w:p>
      <w:pPr>
        <w:spacing w:line="276" w:lineRule="auto"/>
        <w:ind w:left="720" w:hanging="720"/>
      </w:pPr>
      <w:r>
        <w:t>Miller, A. J. (1963). A computer control system for traffic networks. Proceedings of the Second International Symposium on the Theory of Road Traffic Flow, 200-220.</w:t>
      </w:r>
    </w:p>
    <w:p>
      <w:pPr>
        <w:spacing w:line="276" w:lineRule="auto"/>
        <w:ind w:left="720" w:hanging="720"/>
      </w:pPr>
      <w:r>
        <w:t>Mirchandani, P., &amp; Head, L. (2001). A real-time traffic-responsive signal control system: RHODES. Transportation Research Part C: Emerging Technologies, 9(6), 415-432. https://doi.org/10.1016/S0968-090X(00)00047-4</w:t>
      </w:r>
    </w:p>
    <w:p>
      <w:pPr>
        <w:spacing w:line="276" w:lineRule="auto"/>
        <w:ind w:left="720" w:hanging="720"/>
      </w:pPr>
      <w:r>
        <w:t>National Electrical Manufacturers Association (NEMA). (2005). NEMA Standards Publication TS 2-2003: Traffic Controller Assemblies with NTCIP Requirements.</w:t>
      </w:r>
    </w:p>
    <w:p>
      <w:pPr>
        <w:spacing w:line="276" w:lineRule="auto"/>
        <w:ind w:left="720" w:hanging="720"/>
      </w:pPr>
      <w:r>
        <w:t>Newell, G. F. (1989). Theory of highway traffic signals. Institute of Transportation Studies, UC Berkeley, Research Report UCB-ITS-RR-89-7.</w:t>
      </w:r>
    </w:p>
    <w:p>
      <w:pPr>
        <w:spacing w:line="276" w:lineRule="auto"/>
        <w:ind w:left="720" w:hanging="720"/>
      </w:pPr>
      <w:r>
        <w:t>Papageorgiou, M., Diakaki, C., Dinopoulou, V., Kotsialos, A., &amp; Wang, Y. (2003). Review of road traffic control strategies. Proceedings of the IEEE, 91(12), 2043-2067. https://doi.org/10.1109/JPROC.2003.819610</w:t>
      </w:r>
    </w:p>
    <w:p>
      <w:pPr>
        <w:spacing w:line="276" w:lineRule="auto"/>
        <w:ind w:left="720" w:hanging="720"/>
      </w:pPr>
      <w:r>
        <w:t>Sims, A. G., &amp; Dobinson, K. W. (1980). The Sydney coordinated adaptive traffic (SCATS) system—Philosophy and benefits. IEEE Transactions on Vehicular Technology, 29(2), 130-137. https://doi.org/10.1109/T-VT.1980.23843</w:t>
      </w:r>
    </w:p>
    <w:p>
      <w:pPr>
        <w:spacing w:line="276" w:lineRule="auto"/>
        <w:ind w:left="720" w:hanging="720"/>
      </w:pPr>
      <w:r>
        <w:t>Transportation Research Board (TRB). (2010). Highway Capacity Manual (HCM 2010). National Research Council.</w:t>
      </w:r>
    </w:p>
    <w:p>
      <w:pPr>
        <w:spacing w:line="276" w:lineRule="auto"/>
        <w:ind w:left="720" w:hanging="720"/>
      </w:pPr>
      <w:r>
        <w:t>Varaiya, P. (2013). Max pressure control of a network of signalized intersections. Transportation Research Part C: Emerging Technologies, 36, 177-195. https://doi.org/10.1016/j.trc.2013.08.014</w:t>
      </w:r>
    </w:p>
    <w:p>
      <w:pPr>
        <w:spacing w:line="276" w:lineRule="auto"/>
        <w:ind w:left="720" w:hanging="720"/>
      </w:pPr>
      <w:r>
        <w:t>Webster, F. V. (1958). Traffic signal settings. Road Research Technical Paper No. 39, Road Research Laboratory.</w:t>
      </w:r>
    </w:p>
    <w:p>
      <w:pPr>
        <w:spacing w:line="276" w:lineRule="auto"/>
        <w:ind w:left="720" w:hanging="720"/>
      </w:pPr>
      <w:r>
        <w:t>Wei, H., Zheng, G., Yao, H., &amp; Li, Z. (2018). IntelliLight: A reinforcement learning approach for intelligent traffic light control. Proceedings of the 24th ACM SIGKDD International Conference on Knowledge Discovery &amp; Data Mining, 2496-2505. https://doi.org/10.1145/3219819.3220096</w:t>
      </w:r>
    </w:p>
    <w:p>
      <w:pPr>
        <w:spacing w:line="276" w:lineRule="auto"/>
        <w:ind w:left="720" w:hanging="720"/>
      </w:pPr>
      <w:r>
        <w:t>Wei, H., Zheng, G., Gayah, V., &amp; Li, Z. (2019). A survey on traffic signal control methods in the era of big data and AI. Frontiers in Big Data, 2, 38. https://doi.org/10.3389/fdata.2019.00038</w:t>
      </w:r>
    </w:p>
    <w:p>
      <w:pPr>
        <w:spacing w:line="276" w:lineRule="auto"/>
        <w:ind w:left="720" w:hanging="720"/>
      </w:pPr>
      <w:r>
        <w:t>Wongpiromsarn, T., Uthaicharoenpong, T., Wang, Y., Frazzoli, E., &amp; Wang, D. (2012). Distributed model predictive control for traffic signal networks. IEEE Transactions on Intelligent Transportation Systems, 13(2), 635-648. https://doi.org/10.1109/TITS.2011.2180382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