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360" w:after="400" w:line="276" w:lineRule="auto"/>
        <w:jc w:val="left"/>
      </w:pPr>
      <w:r>
        <w:rPr>
          <w:rFonts w:ascii="Calibri" w:hAnsi="Calibri" w:eastAsia="Calibri"/>
          <w:b/>
          <w:i w:val="0"/>
          <w:color w:val="0F766E"/>
          <w:sz w:val="20"/>
        </w:rPr>
        <w:t>CLINICAL REFERENCE GUIDE</w:t>
      </w:r>
    </w:p>
    <w:p>
      <w:pPr>
        <w:keepNext w:val="0"/>
        <w:keepLines/>
        <w:spacing w:before="0" w:after="120" w:line="276" w:lineRule="auto"/>
      </w:pPr>
      <w:r>
        <w:rPr>
          <w:rFonts w:ascii="Calibri" w:hAnsi="Calibri" w:eastAsia="Calibri"/>
          <w:b/>
          <w:i w:val="0"/>
          <w:color w:val="123B56"/>
          <w:sz w:val="56"/>
        </w:rPr>
        <w:t>Lenacapavir PrEP</w:t>
      </w:r>
    </w:p>
    <w:p>
      <w:pPr>
        <w:keepNext w:val="0"/>
        <w:keepLines/>
        <w:spacing w:before="0" w:after="240" w:line="276" w:lineRule="auto"/>
      </w:pPr>
      <w:r>
        <w:rPr>
          <w:rFonts w:ascii="Calibri" w:hAnsi="Calibri" w:eastAsia="Calibri"/>
          <w:b/>
          <w:i w:val="0"/>
          <w:color w:val="2E74B5"/>
          <w:sz w:val="40"/>
        </w:rPr>
        <w:t>Clinical Assessment and Eligibility Protocol</w:t>
      </w:r>
    </w:p>
    <w:p>
      <w:pPr>
        <w:keepNext w:val="0"/>
        <w:keepLines/>
        <w:spacing w:before="0" w:after="360" w:line="276" w:lineRule="auto"/>
      </w:pPr>
      <w:r>
        <w:rPr>
          <w:rFonts w:ascii="Calibri" w:hAnsi="Calibri" w:eastAsia="Calibri"/>
          <w:b w:val="0"/>
          <w:i w:val="0"/>
          <w:color w:val="374151"/>
          <w:sz w:val="24"/>
        </w:rPr>
        <w:t>A practical guide for junior doctors assessing HIV prevention needs, confirming eligibility, initiating follow-up, and selecting HIV or STI prophylaxis alternatives</w:t>
      </w:r>
    </w:p>
    <w:tbl>
      <w:tblPr>
        <w:tblW w:type="auto" w:w="0"/>
        <w:jc w:val="left"/>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cantSplit/>
        </w:trPr>
        <w:tc>
          <w:tcPr>
            <w:tcW w:type="dxa" w:w="2300"/>
            <w:tcMar>
              <w:top w:w="90" w:type="dxa"/>
              <w:start w:w="120" w:type="dxa"/>
              <w:bottom w:w="90" w:type="dxa"/>
              <w:end w:w="120" w:type="dxa"/>
            </w:tcMar>
            <w:shd w:fill="E8F1F8"/>
          </w:tcPr>
          <w:p>
            <w:pPr>
              <w:keepNext w:val="0"/>
              <w:keepLines w:val="0"/>
              <w:spacing w:before="0" w:after="0" w:line="276" w:lineRule="auto"/>
            </w:pPr>
            <w:r>
              <w:rPr>
                <w:rFonts w:ascii="Calibri" w:hAnsi="Calibri" w:eastAsia="Calibri"/>
                <w:b/>
                <w:i w:val="0"/>
                <w:color w:val="123B56"/>
                <w:sz w:val="19"/>
              </w:rPr>
              <w:t>Clinical setting</w:t>
            </w:r>
          </w:p>
        </w:tc>
        <w:tc>
          <w:tcPr>
            <w:tcW w:type="dxa" w:w="7060"/>
            <w:tcMar>
              <w:top w:w="90" w:type="dxa"/>
              <w:start w:w="120" w:type="dxa"/>
              <w:bottom w:w="90" w:type="dxa"/>
              <w:end w:w="120" w:type="dxa"/>
            </w:tcMar>
          </w:tcPr>
          <w:p>
            <w:pPr>
              <w:keepNext w:val="0"/>
              <w:keepLines w:val="0"/>
              <w:spacing w:before="0" w:after="0" w:line="276" w:lineRule="auto"/>
            </w:pPr>
            <w:r>
              <w:rPr>
                <w:rFonts w:ascii="Calibri" w:hAnsi="Calibri" w:eastAsia="Calibri"/>
                <w:b w:val="0"/>
                <w:i w:val="0"/>
                <w:sz w:val="19"/>
              </w:rPr>
              <w:t>Nigeria-focused HIV prevention services</w:t>
            </w:r>
          </w:p>
        </w:tc>
      </w:tr>
      <w:tr>
        <w:trPr>
          <w:cantSplit/>
        </w:trPr>
        <w:tc>
          <w:tcPr>
            <w:tcW w:type="dxa" w:w="2300"/>
            <w:tcMar>
              <w:top w:w="90" w:type="dxa"/>
              <w:start w:w="120" w:type="dxa"/>
              <w:bottom w:w="90" w:type="dxa"/>
              <w:end w:w="120" w:type="dxa"/>
            </w:tcMar>
            <w:shd w:fill="E8F1F8"/>
          </w:tcPr>
          <w:p>
            <w:pPr>
              <w:keepNext w:val="0"/>
              <w:keepLines w:val="0"/>
              <w:spacing w:before="0" w:after="0" w:line="276" w:lineRule="auto"/>
            </w:pPr>
            <w:r>
              <w:rPr>
                <w:rFonts w:ascii="Calibri" w:hAnsi="Calibri" w:eastAsia="Calibri"/>
                <w:b/>
                <w:i w:val="0"/>
                <w:color w:val="123B56"/>
                <w:sz w:val="19"/>
              </w:rPr>
              <w:t>Audience</w:t>
            </w:r>
          </w:p>
        </w:tc>
        <w:tc>
          <w:tcPr>
            <w:tcW w:type="dxa" w:w="7060"/>
            <w:tcMar>
              <w:top w:w="90" w:type="dxa"/>
              <w:start w:w="120" w:type="dxa"/>
              <w:bottom w:w="90" w:type="dxa"/>
              <w:end w:w="120" w:type="dxa"/>
            </w:tcMar>
          </w:tcPr>
          <w:p>
            <w:pPr>
              <w:keepNext w:val="0"/>
              <w:keepLines w:val="0"/>
              <w:spacing w:before="0" w:after="0" w:line="276" w:lineRule="auto"/>
            </w:pPr>
            <w:r>
              <w:rPr>
                <w:rFonts w:ascii="Calibri" w:hAnsi="Calibri" w:eastAsia="Calibri"/>
                <w:b w:val="0"/>
                <w:i w:val="0"/>
                <w:sz w:val="19"/>
              </w:rPr>
              <w:t>Junior doctors and trained prescribers working under local supervision</w:t>
            </w:r>
          </w:p>
        </w:tc>
      </w:tr>
      <w:tr>
        <w:trPr>
          <w:cantSplit/>
        </w:trPr>
        <w:tc>
          <w:tcPr>
            <w:tcW w:type="dxa" w:w="2300"/>
            <w:tcMar>
              <w:top w:w="90" w:type="dxa"/>
              <w:start w:w="120" w:type="dxa"/>
              <w:bottom w:w="90" w:type="dxa"/>
              <w:end w:w="120" w:type="dxa"/>
            </w:tcMar>
            <w:shd w:fill="E8F1F8"/>
          </w:tcPr>
          <w:p>
            <w:pPr>
              <w:keepNext w:val="0"/>
              <w:keepLines w:val="0"/>
              <w:spacing w:before="0" w:after="0" w:line="276" w:lineRule="auto"/>
            </w:pPr>
            <w:r>
              <w:rPr>
                <w:rFonts w:ascii="Calibri" w:hAnsi="Calibri" w:eastAsia="Calibri"/>
                <w:b/>
                <w:i w:val="0"/>
                <w:color w:val="123B56"/>
                <w:sz w:val="19"/>
              </w:rPr>
              <w:t>Version</w:t>
            </w:r>
          </w:p>
        </w:tc>
        <w:tc>
          <w:tcPr>
            <w:tcW w:type="dxa" w:w="7060"/>
            <w:tcMar>
              <w:top w:w="90" w:type="dxa"/>
              <w:start w:w="120" w:type="dxa"/>
              <w:bottom w:w="90" w:type="dxa"/>
              <w:end w:w="120" w:type="dxa"/>
            </w:tcMar>
          </w:tcPr>
          <w:p>
            <w:pPr>
              <w:keepNext w:val="0"/>
              <w:keepLines w:val="0"/>
              <w:spacing w:before="0" w:after="0" w:line="276" w:lineRule="auto"/>
            </w:pPr>
            <w:r>
              <w:rPr>
                <w:rFonts w:ascii="Calibri" w:hAnsi="Calibri" w:eastAsia="Calibri"/>
                <w:b w:val="0"/>
                <w:i w:val="0"/>
                <w:sz w:val="19"/>
              </w:rPr>
              <w:t>1.0</w:t>
            </w:r>
          </w:p>
        </w:tc>
      </w:tr>
      <w:tr>
        <w:trPr>
          <w:cantSplit/>
        </w:trPr>
        <w:tc>
          <w:tcPr>
            <w:tcW w:type="dxa" w:w="2300"/>
            <w:tcMar>
              <w:top w:w="90" w:type="dxa"/>
              <w:start w:w="120" w:type="dxa"/>
              <w:bottom w:w="90" w:type="dxa"/>
              <w:end w:w="120" w:type="dxa"/>
            </w:tcMar>
            <w:shd w:fill="E8F1F8"/>
          </w:tcPr>
          <w:p>
            <w:pPr>
              <w:keepNext w:val="0"/>
              <w:keepLines w:val="0"/>
              <w:spacing w:before="0" w:after="0" w:line="276" w:lineRule="auto"/>
            </w:pPr>
            <w:r>
              <w:rPr>
                <w:rFonts w:ascii="Calibri" w:hAnsi="Calibri" w:eastAsia="Calibri"/>
                <w:b/>
                <w:i w:val="0"/>
                <w:color w:val="123B56"/>
                <w:sz w:val="19"/>
              </w:rPr>
              <w:t>Issue date</w:t>
            </w:r>
          </w:p>
        </w:tc>
        <w:tc>
          <w:tcPr>
            <w:tcW w:type="dxa" w:w="7060"/>
            <w:tcMar>
              <w:top w:w="90" w:type="dxa"/>
              <w:start w:w="120" w:type="dxa"/>
              <w:bottom w:w="90" w:type="dxa"/>
              <w:end w:w="120" w:type="dxa"/>
            </w:tcMar>
          </w:tcPr>
          <w:p>
            <w:pPr>
              <w:keepNext w:val="0"/>
              <w:keepLines w:val="0"/>
              <w:spacing w:before="0" w:after="0" w:line="276" w:lineRule="auto"/>
            </w:pPr>
            <w:r>
              <w:rPr>
                <w:rFonts w:ascii="Calibri" w:hAnsi="Calibri" w:eastAsia="Calibri"/>
                <w:b w:val="0"/>
                <w:i w:val="0"/>
                <w:sz w:val="19"/>
              </w:rPr>
              <w:t>28 July 2026</w:t>
            </w:r>
          </w:p>
        </w:tc>
      </w:tr>
    </w:tbl>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Clinical safety notice</w:t>
            </w:r>
          </w:p>
          <w:p>
            <w:pPr>
              <w:keepNext w:val="0"/>
              <w:keepLines w:val="0"/>
              <w:spacing w:before="0" w:after="0" w:line="264" w:lineRule="auto"/>
            </w:pPr>
            <w:r>
              <w:rPr>
                <w:rFonts w:ascii="Calibri" w:hAnsi="Calibri" w:eastAsia="Calibri"/>
                <w:b w:val="0"/>
                <w:i w:val="0"/>
                <w:sz w:val="20"/>
              </w:rPr>
              <w:t>This guide supports, but does not replace, the current Federal Ministry of Health/NASCP lenacapavir rollout protocol, national HIV testing algorithm, approved product information, facility standard operating procedures, and senior or specialist review. Verify formulary availability, regulatory approval, and local antimicrobial-resistance policy before prescribing.</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Emergency rule</w:t>
            </w:r>
          </w:p>
          <w:p>
            <w:pPr>
              <w:keepNext w:val="0"/>
              <w:keepLines w:val="0"/>
              <w:spacing w:before="0" w:after="0" w:line="264" w:lineRule="auto"/>
            </w:pPr>
            <w:r>
              <w:rPr>
                <w:rFonts w:ascii="Calibri" w:hAnsi="Calibri" w:eastAsia="Calibri"/>
                <w:b w:val="0"/>
                <w:i w:val="0"/>
                <w:sz w:val="20"/>
              </w:rPr>
              <w:t>A possible HIV exposure within 72 hours is a PEP emergency, not a routine PrEP visit. Start an appropriate three-drug PEP regimen as soon as possible—ideally within 24 hours—and do not delay the first dose while waiting for laboratory results.</w:t>
            </w:r>
          </w:p>
        </w:tc>
      </w:tr>
    </w:tbl>
    <w:p>
      <w:pPr>
        <w:keepNext w:val="0"/>
        <w:keepLines w:val="0"/>
        <w:spacing w:before="0" w:after="40" w:line="276" w:lineRule="auto"/>
      </w:pPr>
    </w:p>
    <w:p>
      <w:pPr>
        <w:keepNext w:val="0"/>
        <w:keepLines w:val="0"/>
        <w:spacing w:before="200" w:after="0" w:line="276" w:lineRule="auto"/>
        <w:jc w:val="center"/>
      </w:pPr>
      <w:r>
        <w:rPr>
          <w:rFonts w:ascii="Calibri" w:hAnsi="Calibri" w:eastAsia="Calibri"/>
          <w:b w:val="0"/>
          <w:i/>
          <w:color w:val="123B56"/>
          <w:sz w:val="20"/>
        </w:rPr>
        <w:t>Lenacapavir PrEP prevents HIV-1 acquisition. It does not treat established HIV, prevent pregnancy, or prevent other sexually transmitted infections.</w:t>
      </w:r>
    </w:p>
    <w:p>
      <w:r>
        <w:br w:type="page"/>
      </w:r>
    </w:p>
    <w:p>
      <w:pPr>
        <w:pStyle w:val="Heading1"/>
      </w:pPr>
      <w:r>
        <w:t>How to use this guide</w:t>
      </w:r>
    </w:p>
    <w:p>
      <w:pPr>
        <w:keepNext w:val="0"/>
        <w:keepLines w:val="0"/>
        <w:spacing w:before="0" w:after="100" w:line="276" w:lineRule="auto"/>
      </w:pPr>
      <w:r>
        <w:rPr>
          <w:rFonts w:ascii="Calibri" w:hAnsi="Calibri" w:eastAsia="Calibri"/>
          <w:b w:val="0"/>
          <w:i w:val="0"/>
        </w:rPr>
        <w:t>Use the first five-minute pathway for every client. If no PEP emergency or diagnostic uncertainty is present, complete the lenacapavir assessment domains, classify the decision, document counseling, and arrange the next contact before the client leaves.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cantSplit/>
          <w:tblHeader w:val="true"/>
        </w:trPr>
        <w:tc>
          <w:tcPr>
            <w:tcW w:type="dxa" w:w="2200"/>
            <w:tcMar>
              <w:top w:w="70" w:type="dxa"/>
              <w:start w:w="100" w:type="dxa"/>
              <w:bottom w:w="70" w:type="dxa"/>
              <w:end w:w="100" w:type="dxa"/>
            </w:tcMar>
            <w:vAlign w:val="center"/>
            <w:shd w:fill="123B56"/>
          </w:tcPr>
          <w:p>
            <w:pPr>
              <w:keepNext w:val="0"/>
              <w:keepLines w:val="0"/>
              <w:spacing w:before="0" w:after="0" w:line="252" w:lineRule="auto"/>
            </w:pPr>
            <w:r>
              <w:rPr>
                <w:rFonts w:ascii="Calibri" w:hAnsi="Calibri" w:eastAsia="Calibri"/>
                <w:b/>
                <w:i w:val="0"/>
                <w:color w:val="FFFFFF"/>
                <w:sz w:val="18"/>
              </w:rPr>
              <w:t>Guide map</w:t>
            </w:r>
          </w:p>
        </w:tc>
        <w:tc>
          <w:tcPr>
            <w:tcW w:type="dxa" w:w="7160"/>
            <w:tcMar>
              <w:top w:w="70" w:type="dxa"/>
              <w:start w:w="100" w:type="dxa"/>
              <w:bottom w:w="70" w:type="dxa"/>
              <w:end w:w="100" w:type="dxa"/>
            </w:tcMar>
            <w:vAlign w:val="center"/>
            <w:shd w:fill="123B56"/>
          </w:tcPr>
          <w:p>
            <w:pPr>
              <w:keepNext w:val="0"/>
              <w:keepLines w:val="0"/>
              <w:spacing w:before="0" w:after="0" w:line="252" w:lineRule="auto"/>
            </w:pPr>
            <w:r>
              <w:rPr>
                <w:rFonts w:ascii="Calibri" w:hAnsi="Calibri" w:eastAsia="Calibri"/>
                <w:b/>
                <w:i w:val="0"/>
                <w:color w:val="FFFFFF"/>
                <w:sz w:val="18"/>
              </w:rPr>
              <w:t>What the section is for</w:t>
            </w:r>
          </w:p>
        </w:tc>
      </w:tr>
      <w:tr>
        <w:trPr>
          <w:cantSplit/>
        </w:trPr>
        <w:tc>
          <w:tcPr>
            <w:tcW w:type="dxa" w:w="220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8"/>
              </w:rPr>
              <w:t>Section 1</w:t>
            </w:r>
          </w:p>
        </w:tc>
        <w:tc>
          <w:tcPr>
            <w:tcW w:type="dxa" w:w="716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8"/>
              </w:rPr>
              <w:t>Non-negotiable rules and the five-minute triage pathway</w:t>
            </w:r>
          </w:p>
        </w:tc>
      </w:tr>
      <w:tr>
        <w:trPr>
          <w:cantSplit/>
        </w:trPr>
        <w:tc>
          <w:tcPr>
            <w:tcW w:type="dxa" w:w="220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8"/>
              </w:rPr>
              <w:t>Sections 2–5</w:t>
            </w:r>
          </w:p>
        </w:tc>
        <w:tc>
          <w:tcPr>
            <w:tcW w:type="dxa" w:w="716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8"/>
              </w:rPr>
              <w:t>Complete lenacapavir eligibility, testing, decision, and dosing workflow</w:t>
            </w:r>
          </w:p>
        </w:tc>
      </w:tr>
      <w:tr>
        <w:trPr>
          <w:cantSplit/>
        </w:trPr>
        <w:tc>
          <w:tcPr>
            <w:tcW w:type="dxa" w:w="220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8"/>
              </w:rPr>
              <w:t>Sections 6–7</w:t>
            </w:r>
          </w:p>
        </w:tc>
        <w:tc>
          <w:tcPr>
            <w:tcW w:type="dxa" w:w="716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8"/>
              </w:rPr>
              <w:t>Follow-up, missed doses, tail management, adverse events, and escalation</w:t>
            </w:r>
          </w:p>
        </w:tc>
      </w:tr>
      <w:tr>
        <w:trPr>
          <w:cantSplit/>
        </w:trPr>
        <w:tc>
          <w:tcPr>
            <w:tcW w:type="dxa" w:w="220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8"/>
              </w:rPr>
              <w:t>Section 8</w:t>
            </w:r>
          </w:p>
        </w:tc>
        <w:tc>
          <w:tcPr>
            <w:tcW w:type="dxa" w:w="716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8"/>
              </w:rPr>
              <w:t>Alternative HIV PrEP choices</w:t>
            </w:r>
          </w:p>
        </w:tc>
      </w:tr>
      <w:tr>
        <w:trPr>
          <w:cantSplit/>
        </w:trPr>
        <w:tc>
          <w:tcPr>
            <w:tcW w:type="dxa" w:w="220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8"/>
              </w:rPr>
              <w:t>Section 9</w:t>
            </w:r>
          </w:p>
        </w:tc>
        <w:tc>
          <w:tcPr>
            <w:tcW w:type="dxa" w:w="716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8"/>
              </w:rPr>
              <w:t>Emergency HIV PEP assessment and adult/adolescent regimens</w:t>
            </w:r>
          </w:p>
        </w:tc>
      </w:tr>
      <w:tr>
        <w:trPr>
          <w:cantSplit/>
        </w:trPr>
        <w:tc>
          <w:tcPr>
            <w:tcW w:type="dxa" w:w="220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8"/>
              </w:rPr>
              <w:t>Section 10</w:t>
            </w:r>
          </w:p>
        </w:tc>
        <w:tc>
          <w:tcPr>
            <w:tcW w:type="dxa" w:w="716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8"/>
              </w:rPr>
              <w:t>Bacterial STI, viral STI, and blood-borne infection prophylaxis</w:t>
            </w:r>
          </w:p>
        </w:tc>
      </w:tr>
      <w:tr>
        <w:trPr>
          <w:cantSplit/>
        </w:trPr>
        <w:tc>
          <w:tcPr>
            <w:tcW w:type="dxa" w:w="220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8"/>
              </w:rPr>
              <w:t>Appendices</w:t>
            </w:r>
          </w:p>
        </w:tc>
        <w:tc>
          <w:tcPr>
            <w:tcW w:type="dxa" w:w="716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8"/>
              </w:rPr>
              <w:t>Printable checklists, PEP order aid, counseling, and documentation</w:t>
            </w:r>
          </w:p>
        </w:tc>
      </w:tr>
    </w:tbl>
    <w:p>
      <w:pPr>
        <w:spacing w:after="40"/>
      </w:pP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9994"/>
      </w:tblGrid>
      <w:tr>
        <w:tc>
          <w:tcPr>
            <w:tcW w:type="dxa" w:w="9360"/>
            <w:shd w:fill="E8F1F8"/>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2E74B5"/>
                <w:sz w:val="21"/>
              </w:rPr>
              <w:t>Terminology</w:t>
            </w:r>
          </w:p>
          <w:p>
            <w:pPr>
              <w:keepNext w:val="0"/>
              <w:keepLines w:val="0"/>
              <w:spacing w:before="0" w:after="0" w:line="264" w:lineRule="auto"/>
            </w:pPr>
            <w:r>
              <w:rPr>
                <w:rFonts w:ascii="Calibri" w:hAnsi="Calibri" w:eastAsia="Calibri"/>
                <w:b w:val="0"/>
                <w:i w:val="0"/>
                <w:sz w:val="20"/>
              </w:rPr>
              <w:t>PrEP and PEP most often refer to HIV antiretroviral prophylaxis. For non-HIV STIs, prevention is infection-specific: vaccination, immune globulin, selected doxycycline PEP, exposure testing, partner management, or behavioral prevention. There is no universal ‘STI PrEP pack.’</w:t>
            </w:r>
          </w:p>
        </w:tc>
      </w:tr>
    </w:tbl>
    <w:p>
      <w:pPr>
        <w:keepNext w:val="0"/>
        <w:keepLines w:val="0"/>
        <w:spacing w:before="0" w:after="40" w:line="276" w:lineRule="auto"/>
      </w:pPr>
    </w:p>
    <w:p>
      <w:pPr>
        <w:pStyle w:val="Heading2"/>
      </w:pPr>
      <w:r>
        <w:t>Scope, authority, and Nigeria context</w:t>
      </w:r>
    </w:p>
    <w:p>
      <w:pPr>
        <w:pStyle w:val="ListBullet"/>
        <w:keepNext w:val="0"/>
        <w:keepLines w:val="0"/>
        <w:spacing w:before="0" w:after="60" w:line="276" w:lineRule="auto"/>
      </w:pPr>
      <w:r>
        <w:rPr>
          <w:rFonts w:ascii="Calibri" w:hAnsi="Calibri" w:eastAsia="Calibri"/>
          <w:b w:val="0"/>
          <w:i w:val="0"/>
        </w:rPr>
        <w:t>Nigeria introduced lenacapavir PrEP nationally on 31 March 2026, with phased implementation through trained and assessed sites. Confirm that the service location is authorized and has current national training materials before initiating. [4,21]</w:t>
      </w:r>
    </w:p>
    <w:p>
      <w:pPr>
        <w:pStyle w:val="ListBullet"/>
        <w:keepNext w:val="0"/>
        <w:keepLines w:val="0"/>
        <w:spacing w:before="0" w:after="60" w:line="276" w:lineRule="auto"/>
      </w:pPr>
      <w:r>
        <w:rPr>
          <w:rFonts w:ascii="Calibri" w:hAnsi="Calibri" w:eastAsia="Calibri"/>
          <w:b w:val="0"/>
          <w:i w:val="0"/>
        </w:rPr>
        <w:t>WHO recommends twice-yearly injectable lenacapavir as an additional PrEP choice and permits validated rapid diagnostic test algorithms for initiating or continuing long-acting PrEP. [1]</w:t>
      </w:r>
    </w:p>
    <w:p>
      <w:pPr>
        <w:pStyle w:val="ListBullet"/>
        <w:keepNext w:val="0"/>
        <w:keepLines w:val="0"/>
        <w:spacing w:before="0" w:after="60" w:line="276" w:lineRule="auto"/>
      </w:pPr>
      <w:r>
        <w:rPr>
          <w:rFonts w:ascii="Calibri" w:hAnsi="Calibri" w:eastAsia="Calibri"/>
          <w:b w:val="0"/>
          <w:i w:val="0"/>
        </w:rPr>
        <w:t>This guide uses Nigeria’s public national HIV guideline for local oral PrEP and PEP context, then incorporates later WHO, CDC, and product-label updates. A current Nigeria rollout circular or facility SOP takes precedence if it differs. [5]</w:t>
      </w:r>
    </w:p>
    <w:p>
      <w:pPr>
        <w:pStyle w:val="ListBullet"/>
        <w:keepNext w:val="0"/>
        <w:keepLines w:val="0"/>
        <w:spacing w:before="0" w:after="60" w:line="276" w:lineRule="auto"/>
      </w:pPr>
      <w:r>
        <w:rPr>
          <w:rFonts w:ascii="Calibri" w:hAnsi="Calibri" w:eastAsia="Calibri"/>
          <w:b w:val="0"/>
          <w:i w:val="0"/>
        </w:rPr>
        <w:t>The licensed lenacapavir PrEP indication is prevention of sexually acquired HIV-1 in adults and adolescents weighing at least 35 kg. Evidence is insufficient to assume protection when injection-drug exposure is the only risk; offer tenofovir-based oral PrEP and harm-reduction services or obtain expert guidance. [2,3]</w:t>
      </w:r>
    </w:p>
    <w:p>
      <w:pPr>
        <w:pStyle w:val="Heading2"/>
      </w:pPr>
      <w:r>
        <w:t>Core abbreviations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1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Term</w:t>
            </w:r>
          </w:p>
        </w:tc>
        <w:tc>
          <w:tcPr>
            <w:tcW w:type="dxa" w:w="3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Meaning</w:t>
            </w:r>
          </w:p>
        </w:tc>
        <w:tc>
          <w:tcPr>
            <w:tcW w:type="dxa" w:w="11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Term</w:t>
            </w:r>
          </w:p>
        </w:tc>
        <w:tc>
          <w:tcPr>
            <w:tcW w:type="dxa" w:w="38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Meaning</w:t>
            </w:r>
          </w:p>
        </w:tc>
      </w:tr>
      <w:tr>
        <w:trPr>
          <w:cantSplit/>
        </w:trPr>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3TC</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Lamivudine</w:t>
            </w:r>
          </w:p>
        </w:tc>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Ag/Ab</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HIV antigen/antibody test</w:t>
            </w:r>
          </w:p>
        </w:tc>
      </w:tr>
      <w:tr>
        <w:trPr>
          <w:cantSplit/>
        </w:trPr>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ART</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Antiretroviral therapy</w:t>
            </w:r>
          </w:p>
        </w:tc>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CAB-LA</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Long-acting cabotegravir</w:t>
            </w:r>
          </w:p>
        </w:tc>
      </w:tr>
      <w:tr>
        <w:trPr>
          <w:cantSplit/>
        </w:trPr>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DTG</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Dolutegravir</w:t>
            </w:r>
          </w:p>
        </w:tc>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FTC</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Emtricitabine</w:t>
            </w:r>
          </w:p>
        </w:tc>
      </w:tr>
      <w:tr>
        <w:trPr>
          <w:cantSplit/>
        </w:trPr>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HBIG</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Hepatitis B immune globulin</w:t>
            </w:r>
          </w:p>
        </w:tc>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HBV/HCV</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Hepatitis B/C virus</w:t>
            </w:r>
          </w:p>
        </w:tc>
      </w:tr>
      <w:tr>
        <w:trPr>
          <w:cantSplit/>
        </w:trPr>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LEN</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Lenacapavir</w:t>
            </w:r>
          </w:p>
        </w:tc>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NAAT/NAT</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Nucleic acid amplification/test</w:t>
            </w:r>
          </w:p>
        </w:tc>
      </w:tr>
      <w:tr>
        <w:trPr>
          <w:cantSplit/>
        </w:trPr>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PEP</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Post-exposure prophylaxis</w:t>
            </w:r>
          </w:p>
        </w:tc>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PrEP</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Pre-exposure prophylaxis</w:t>
            </w:r>
          </w:p>
        </w:tc>
      </w:tr>
      <w:tr>
        <w:trPr>
          <w:cantSplit/>
        </w:trPr>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TAF</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Tenofovir alafenamide</w:t>
            </w:r>
          </w:p>
        </w:tc>
        <w:tc>
          <w:tcPr>
            <w:tcW w:type="dxa" w:w="1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TDF</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Tenofovir disoproxil fumarate</w:t>
            </w:r>
          </w:p>
        </w:tc>
      </w:tr>
      <w:tr>
        <w:trPr>
          <w:cantSplit/>
        </w:trPr>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TGW</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Transgender women</w:t>
            </w:r>
          </w:p>
        </w:tc>
        <w:tc>
          <w:tcPr>
            <w:tcW w:type="dxa" w:w="1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MSM</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Men who have sex with men</w:t>
            </w:r>
          </w:p>
        </w:tc>
      </w:tr>
    </w:tbl>
    <w:p>
      <w:pPr>
        <w:keepNext w:val="0"/>
        <w:keepLines w:val="0"/>
        <w:spacing w:before="0" w:after="40" w:line="276" w:lineRule="auto"/>
      </w:pPr>
    </w:p>
    <w:p>
      <w:pPr>
        <w:pStyle w:val="Heading1"/>
      </w:pPr>
      <w:r>
        <w:t>1. Non-negotiable clinical rules</w:t>
      </w: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Rule 1 — HIV status must be known</w:t>
            </w:r>
          </w:p>
          <w:p>
            <w:pPr>
              <w:keepNext w:val="0"/>
              <w:keepLines w:val="0"/>
              <w:spacing w:before="0" w:after="0" w:line="264" w:lineRule="auto"/>
            </w:pPr>
            <w:r>
              <w:rPr>
                <w:rFonts w:ascii="Calibri" w:hAnsi="Calibri" w:eastAsia="Calibri"/>
                <w:b w:val="0"/>
                <w:i w:val="0"/>
                <w:sz w:val="20"/>
              </w:rPr>
              <w:t>Never administer lenacapavir PrEP to a person with positive, unknown, discordant, or unresolved HIV results. Lenacapavir alone is not a complete HIV treatment regimen and can select capsid resistance.</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Rule 2 — PEP outranks PrEP</w:t>
            </w:r>
          </w:p>
          <w:p>
            <w:pPr>
              <w:keepNext w:val="0"/>
              <w:keepLines w:val="0"/>
              <w:spacing w:before="0" w:after="0" w:line="264" w:lineRule="auto"/>
            </w:pPr>
            <w:r>
              <w:rPr>
                <w:rFonts w:ascii="Calibri" w:hAnsi="Calibri" w:eastAsia="Calibri"/>
                <w:b w:val="0"/>
                <w:i w:val="0"/>
                <w:sz w:val="20"/>
              </w:rPr>
              <w:t>If a substantial exposure occurred within the previous 72 hours, provide HIV PEP immediately. Plan a PEP-to-PrEP transition after the 28-day course if ongoing exposure is likely.</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Rule 3 — Screen for tuberculosis medicines and other interactions</w:t>
            </w:r>
          </w:p>
          <w:p>
            <w:pPr>
              <w:keepNext w:val="0"/>
              <w:keepLines w:val="0"/>
              <w:spacing w:before="0" w:after="0" w:line="264" w:lineRule="auto"/>
            </w:pPr>
            <w:r>
              <w:rPr>
                <w:rFonts w:ascii="Calibri" w:hAnsi="Calibri" w:eastAsia="Calibri"/>
                <w:b w:val="0"/>
                <w:i w:val="0"/>
                <w:sz w:val="20"/>
              </w:rPr>
              <w:t>Rifampicin, rifapentine, rifabutin, enzyme-inducing anticonvulsants, selected antiretrovirals, and some herbal products can lower lenacapavir exposure. A new medicine may also be affected for months after the injection. Do not improvise supplemental dosing; use the current label and a pharmacist or HIV/TB specialist.</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Rule 4 — Long-acting means long responsibility</w:t>
            </w:r>
          </w:p>
          <w:p>
            <w:pPr>
              <w:keepNext w:val="0"/>
              <w:keepLines w:val="0"/>
              <w:spacing w:before="0" w:after="0" w:line="264" w:lineRule="auto"/>
            </w:pPr>
            <w:r>
              <w:rPr>
                <w:rFonts w:ascii="Calibri" w:hAnsi="Calibri" w:eastAsia="Calibri"/>
                <w:b w:val="0"/>
                <w:i w:val="0"/>
                <w:sz w:val="20"/>
              </w:rPr>
              <w:t>A missed injection can create a period of subprotective drug concentrations and resistance risk. Confirm the client can be contacted confidentially, can return within the dosing window, and has a bridging or alternative PrEP plan.</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0F766E"/>
          <w:left w:val="single" w:sz="8" w:space="0" w:color="0F766E"/>
          <w:bottom w:val="single" w:sz="8" w:space="0" w:color="0F766E"/>
          <w:right w:val="single" w:sz="8" w:space="0" w:color="0F766E"/>
        </w:tblBorders>
      </w:tblPr>
      <w:tblGrid>
        <w:gridCol w:w="9994"/>
      </w:tblGrid>
      <w:tr>
        <w:tc>
          <w:tcPr>
            <w:tcW w:type="dxa" w:w="9360"/>
            <w:shd w:fill="E6F4F1"/>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0F766E"/>
                <w:sz w:val="21"/>
              </w:rPr>
              <w:t>Rule 5 — PrEP is combination prevention</w:t>
            </w:r>
          </w:p>
          <w:p>
            <w:pPr>
              <w:keepNext w:val="0"/>
              <w:keepLines w:val="0"/>
              <w:spacing w:before="0" w:after="0" w:line="264" w:lineRule="auto"/>
            </w:pPr>
            <w:r>
              <w:rPr>
                <w:rFonts w:ascii="Calibri" w:hAnsi="Calibri" w:eastAsia="Calibri"/>
                <w:b w:val="0"/>
                <w:i w:val="0"/>
                <w:sz w:val="20"/>
              </w:rPr>
              <w:t>Offer condoms and lubricant, STI screening and treatment, hepatitis vaccination, reproductive care, harm reduction, mental-health or gender-based-violence support, and respectful partner services as indicated.</w:t>
            </w:r>
          </w:p>
        </w:tc>
      </w:tr>
    </w:tbl>
    <w:p>
      <w:pPr>
        <w:keepNext w:val="0"/>
        <w:keepLines w:val="0"/>
        <w:spacing w:before="0" w:after="40" w:line="276" w:lineRule="auto"/>
      </w:pPr>
    </w:p>
    <w:p>
      <w:pPr>
        <w:pStyle w:val="Heading2"/>
      </w:pPr>
      <w:r>
        <w:t>Five-minute triage before any PrEP clearance</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2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Gate</w:t>
            </w:r>
          </w:p>
        </w:tc>
        <w:tc>
          <w:tcPr>
            <w:tcW w:type="dxa" w:w="30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Question</w:t>
            </w:r>
          </w:p>
        </w:tc>
        <w:tc>
          <w:tcPr>
            <w:tcW w:type="dxa" w:w="16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If yes</w:t>
            </w:r>
          </w:p>
        </w:tc>
        <w:tc>
          <w:tcPr>
            <w:tcW w:type="dxa" w:w="35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Immediate action</w:t>
            </w:r>
          </w:p>
        </w:tc>
      </w:tr>
      <w:tr>
        <w:trPr>
          <w:cantSplit/>
        </w:trPr>
        <w:tc>
          <w:tcPr>
            <w:tcW w:type="dxa" w:w="12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1. Exposure clock</w:t>
            </w:r>
          </w:p>
        </w:tc>
        <w:tc>
          <w:tcPr>
            <w:tcW w:type="dxa" w:w="3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Substantial sexual, needle, mucosal, or non-intact-skin exposure within 72 hours?</w:t>
            </w:r>
          </w:p>
        </w:tc>
        <w:tc>
          <w:tcPr>
            <w:tcW w:type="dxa" w:w="1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PEP emergency</w:t>
            </w:r>
          </w:p>
        </w:tc>
        <w:tc>
          <w:tcPr>
            <w:tcW w:type="dxa" w:w="3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Start three-drug HIV PEP now; labs must not delay the first dose.</w:t>
            </w:r>
          </w:p>
        </w:tc>
      </w:tr>
      <w:tr>
        <w:trPr>
          <w:cantSplit/>
        </w:trPr>
        <w:tc>
          <w:tcPr>
            <w:tcW w:type="dxa" w:w="12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2. HIV safety</w:t>
            </w:r>
          </w:p>
        </w:tc>
        <w:tc>
          <w:tcPr>
            <w:tcW w:type="dxa" w:w="3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Positive/unknown/ambiguous HIV result, recent acute viral syndrome, or concern for seroconversion?</w:t>
            </w:r>
          </w:p>
        </w:tc>
        <w:tc>
          <w:tcPr>
            <w:tcW w:type="dxa" w:w="1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 not inject LEN</w:t>
            </w:r>
          </w:p>
        </w:tc>
        <w:tc>
          <w:tcPr>
            <w:tcW w:type="dxa" w:w="3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Obtain blood Ag/Ab plus HIV RNA if available; follow the national diagnostic algorithm and refer.</w:t>
            </w:r>
          </w:p>
        </w:tc>
      </w:tr>
      <w:tr>
        <w:trPr>
          <w:cantSplit/>
        </w:trPr>
        <w:tc>
          <w:tcPr>
            <w:tcW w:type="dxa" w:w="12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3. Label fit</w:t>
            </w:r>
          </w:p>
        </w:tc>
        <w:tc>
          <w:tcPr>
            <w:tcW w:type="dxa" w:w="3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Weight &lt;35 kg, only injection-drug risk, or no current sexual-acquisition indication?</w:t>
            </w:r>
          </w:p>
        </w:tc>
        <w:tc>
          <w:tcPr>
            <w:tcW w:type="dxa" w:w="1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LEN not established</w:t>
            </w:r>
          </w:p>
        </w:tc>
        <w:tc>
          <w:tcPr>
            <w:tcW w:type="dxa" w:w="3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Choose another nationally approved PrEP option or obtain specialist advice.</w:t>
            </w:r>
          </w:p>
        </w:tc>
      </w:tr>
      <w:tr>
        <w:trPr>
          <w:cantSplit/>
        </w:trPr>
        <w:tc>
          <w:tcPr>
            <w:tcW w:type="dxa" w:w="12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4. Interaction/readiness</w:t>
            </w:r>
          </w:p>
        </w:tc>
        <w:tc>
          <w:tcPr>
            <w:tcW w:type="dxa" w:w="3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Current/potential CYP3A inducer, unresolved interaction, inability to return, or no confidential contact?</w:t>
            </w:r>
          </w:p>
        </w:tc>
        <w:tc>
          <w:tcPr>
            <w:tcW w:type="dxa" w:w="1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 not clear today</w:t>
            </w:r>
          </w:p>
        </w:tc>
        <w:tc>
          <w:tcPr>
            <w:tcW w:type="dxa" w:w="3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Resolve the interaction or follow-up barrier; offer oral PrEP or another option meanwhile.</w:t>
            </w:r>
          </w:p>
        </w:tc>
      </w:tr>
    </w:tbl>
    <w:p>
      <w:pPr>
        <w:keepNext w:val="0"/>
        <w:keepLines w:val="0"/>
        <w:spacing w:before="0" w:after="40" w:line="276" w:lineRule="auto"/>
      </w:pPr>
    </w:p>
    <w:p>
      <w:pPr>
        <w:keepNext w:val="0"/>
        <w:keepLines w:val="0"/>
        <w:spacing w:before="0" w:after="100" w:line="276" w:lineRule="auto"/>
      </w:pPr>
      <w:r>
        <w:rPr>
          <w:rFonts w:ascii="Calibri" w:hAnsi="Calibri" w:eastAsia="Calibri"/>
          <w:b w:val="0"/>
          <w:i/>
        </w:rPr>
        <w:t>If all four gates are passed, continue to the full assessment. A risk-score threshold is not required: a person-centered discussion of exposure, preference, ability to use the method, and local eligibility is more useful than gatekeeping.</w:t>
      </w:r>
    </w:p>
    <w:p>
      <w:pPr>
        <w:pStyle w:val="Heading1"/>
      </w:pPr>
      <w:r>
        <w:t>2. Full lenacapavir PrEP eligibility assessment</w:t>
      </w:r>
    </w:p>
    <w:p>
      <w:pPr>
        <w:pStyle w:val="Heading2"/>
      </w:pPr>
      <w:r>
        <w:t>2.1 Establish consent, confidentiality, and indication</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Confirm identity, age, weight in kilograms, reliable confidential contact method, and preferred name/pronouns.</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Explain that PrEP is optional. Obtain informed consent without coercion; apply local consent rules for adolescents.</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Document why the client wants PrEP and the likely route of HIV exposure; avoid requiring disclosure beyond what is clinically needed.</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Offer all feasible PrEP choices, including oral and other long-acting methods; document the client’s preference.</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Assess immediate safety, sexual coercion, intimate-partner violence, mental-health distress, and safeguarding needs.</w:t>
            </w:r>
          </w:p>
        </w:tc>
      </w:tr>
    </w:tbl>
    <w:p>
      <w:pPr>
        <w:spacing w:after="40"/>
      </w:pPr>
    </w:p>
    <w:p>
      <w:pPr>
        <w:pStyle w:val="Heading2"/>
      </w:pPr>
      <w:r>
        <w:t>2.2 Take a respectful exposure history</w:t>
      </w:r>
    </w:p>
    <w:p>
      <w:pPr>
        <w:keepNext w:val="0"/>
        <w:keepLines w:val="0"/>
        <w:spacing w:before="0" w:after="100" w:line="276" w:lineRule="auto"/>
      </w:pPr>
      <w:r>
        <w:rPr>
          <w:rFonts w:ascii="Calibri" w:hAnsi="Calibri" w:eastAsia="Calibri"/>
          <w:b w:val="0"/>
          <w:i w:val="0"/>
        </w:rPr>
        <w:t>Use a neutral ‘5 Ps plus prevention’ structure. Ask about the previous 3 months and the most recent potential exposure, then ask what the client expects over the next 6 months.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Domain</w:t>
            </w:r>
          </w:p>
        </w:tc>
        <w:tc>
          <w:tcPr>
            <w:tcW w:type="dxa" w:w="45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Ask about</w:t>
            </w:r>
          </w:p>
        </w:tc>
        <w:tc>
          <w:tcPr>
            <w:tcW w:type="dxa" w:w="35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Why it matters</w:t>
            </w:r>
          </w:p>
        </w:tc>
      </w:tr>
      <w:tr>
        <w:trPr>
          <w:cantSplit/>
        </w:trPr>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Partners</w:t>
            </w:r>
          </w:p>
        </w:tc>
        <w:tc>
          <w:tcPr>
            <w:tcW w:type="dxa" w:w="4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Number, new/ongoing partners, partner HIV status and viral suppression, transactional sex.</w:t>
            </w:r>
          </w:p>
        </w:tc>
        <w:tc>
          <w:tcPr>
            <w:tcW w:type="dxa" w:w="3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Clarifies sexual acquisition risk and U=U context.</w:t>
            </w:r>
          </w:p>
        </w:tc>
      </w:tr>
      <w:tr>
        <w:trPr>
          <w:cantSplit/>
        </w:trPr>
        <w:tc>
          <w:tcPr>
            <w:tcW w:type="dxa" w:w="1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Practices</w:t>
            </w:r>
          </w:p>
        </w:tc>
        <w:tc>
          <w:tcPr>
            <w:tcW w:type="dxa" w:w="4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Vaginal, anal, oral sex; receptive/insertive exposure; condom use; sharing of injection equipment.</w:t>
            </w:r>
          </w:p>
        </w:tc>
        <w:tc>
          <w:tcPr>
            <w:tcW w:type="dxa" w:w="3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Determines testing sites, HIV/STI risk, and whether LEN evidence applies.</w:t>
            </w:r>
          </w:p>
        </w:tc>
      </w:tr>
      <w:tr>
        <w:trPr>
          <w:cantSplit/>
        </w:trPr>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Protection</w:t>
            </w:r>
          </w:p>
        </w:tc>
        <w:tc>
          <w:tcPr>
            <w:tcW w:type="dxa" w:w="4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Condoms/lubricant, prior/current PrEP, PEP, ART in partner, sterile injection supplies.</w:t>
            </w:r>
          </w:p>
        </w:tc>
        <w:tc>
          <w:tcPr>
            <w:tcW w:type="dxa" w:w="3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Identifies current protection and adherence gaps.</w:t>
            </w:r>
          </w:p>
        </w:tc>
      </w:tr>
      <w:tr>
        <w:trPr>
          <w:cantSplit/>
        </w:trPr>
        <w:tc>
          <w:tcPr>
            <w:tcW w:type="dxa" w:w="1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Past STIs</w:t>
            </w:r>
          </w:p>
        </w:tc>
        <w:tc>
          <w:tcPr>
            <w:tcW w:type="dxa" w:w="4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Gonorrhea, chlamydia, syphilis, hepatitis, genital ulcers, treatment and partner management.</w:t>
            </w:r>
          </w:p>
        </w:tc>
        <w:tc>
          <w:tcPr>
            <w:tcW w:type="dxa" w:w="3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Signals exposure and guides site-specific tests or DoxyPEP discussion.</w:t>
            </w:r>
          </w:p>
        </w:tc>
      </w:tr>
      <w:tr>
        <w:trPr>
          <w:cantSplit/>
        </w:trPr>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Pregnancy</w:t>
            </w:r>
          </w:p>
        </w:tc>
        <w:tc>
          <w:tcPr>
            <w:tcW w:type="dxa" w:w="4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Pregnancy possibility, plans, contraception, breastfeeding, last menstrual period when relevant.</w:t>
            </w:r>
          </w:p>
        </w:tc>
        <w:tc>
          <w:tcPr>
            <w:tcW w:type="dxa" w:w="3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Supports shared decision-making and reproductive care.</w:t>
            </w:r>
          </w:p>
        </w:tc>
      </w:tr>
      <w:tr>
        <w:trPr>
          <w:cantSplit/>
        </w:trPr>
        <w:tc>
          <w:tcPr>
            <w:tcW w:type="dxa" w:w="1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Substances/safety</w:t>
            </w:r>
          </w:p>
        </w:tc>
        <w:tc>
          <w:tcPr>
            <w:tcW w:type="dxa" w:w="4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Alcohol/drug use around sex, needle sharing, coercion, assault, housing and transport.</w:t>
            </w:r>
          </w:p>
        </w:tc>
        <w:tc>
          <w:tcPr>
            <w:tcW w:type="dxa" w:w="3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Identifies PEP need, harm-reduction and follow-up support.</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9994"/>
      </w:tblGrid>
      <w:tr>
        <w:tc>
          <w:tcPr>
            <w:tcW w:type="dxa" w:w="9360"/>
            <w:shd w:fill="E8F1F8"/>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2E74B5"/>
                <w:sz w:val="21"/>
              </w:rPr>
              <w:t>U=U</w:t>
            </w:r>
          </w:p>
          <w:p>
            <w:pPr>
              <w:keepNext w:val="0"/>
              <w:keepLines w:val="0"/>
              <w:spacing w:before="0" w:after="0" w:line="264" w:lineRule="auto"/>
            </w:pPr>
            <w:r>
              <w:rPr>
                <w:rFonts w:ascii="Calibri" w:hAnsi="Calibri" w:eastAsia="Calibri"/>
                <w:b w:val="0"/>
                <w:i w:val="0"/>
                <w:sz w:val="20"/>
              </w:rPr>
              <w:t>A partner with confirmed sustained viral suppression does not sexually transmit HIV. If that is the only exposure, explain U=U accurately. A client may still choose PrEP for autonomy, anxiety, additional partners, or uncertainty; apply national eligibility and shared decision-making.</w:t>
            </w:r>
          </w:p>
        </w:tc>
      </w:tr>
    </w:tbl>
    <w:p>
      <w:pPr>
        <w:keepNext w:val="0"/>
        <w:keepLines w:val="0"/>
        <w:spacing w:before="0" w:after="40" w:line="276" w:lineRule="auto"/>
      </w:pPr>
    </w:p>
    <w:p>
      <w:pPr>
        <w:pStyle w:val="Heading2"/>
      </w:pPr>
      <w:r>
        <w:t>2.3 Exclude acute or established HIV</w:t>
      </w:r>
    </w:p>
    <w:p>
      <w:pPr>
        <w:keepNext w:val="0"/>
        <w:keepLines w:val="0"/>
        <w:spacing w:before="0" w:after="100" w:line="276" w:lineRule="auto"/>
      </w:pPr>
      <w:r>
        <w:rPr>
          <w:rFonts w:ascii="Calibri" w:hAnsi="Calibri" w:eastAsia="Calibri"/>
          <w:b w:val="0"/>
          <w:i w:val="0"/>
        </w:rPr>
        <w:t>Ask specifically about the previous 4 weeks. Acute HIV can be missed by antibody-only tests, and antiretroviral exposure can delay or blunt diagnostic markers.</w:t>
      </w:r>
    </w:p>
    <w:p>
      <w:pPr>
        <w:pStyle w:val="ListBullet"/>
        <w:keepNext w:val="0"/>
        <w:keepLines w:val="0"/>
        <w:spacing w:before="0" w:after="60" w:line="276" w:lineRule="auto"/>
      </w:pPr>
      <w:r>
        <w:rPr>
          <w:rFonts w:ascii="Calibri" w:hAnsi="Calibri" w:eastAsia="Calibri"/>
          <w:b w:val="0"/>
          <w:i w:val="0"/>
        </w:rPr>
        <w:t>Fever, night sweats, rash, sore throat, headache, marked fatigue, myalgia/arthralgia, diarrhea, lymphadenopathy, oral or genital ulcers.</w:t>
      </w:r>
    </w:p>
    <w:p>
      <w:pPr>
        <w:pStyle w:val="ListBullet"/>
        <w:keepNext w:val="0"/>
        <w:keepLines w:val="0"/>
        <w:spacing w:before="0" w:after="60" w:line="276" w:lineRule="auto"/>
      </w:pPr>
      <w:r>
        <w:rPr>
          <w:rFonts w:ascii="Calibri" w:hAnsi="Calibri" w:eastAsia="Calibri"/>
          <w:b w:val="0"/>
          <w:i w:val="0"/>
        </w:rPr>
        <w:t>A very recent high-risk exposure, especially with a partner known to have unsuppressed HIV.</w:t>
      </w:r>
    </w:p>
    <w:p>
      <w:pPr>
        <w:pStyle w:val="ListBullet"/>
        <w:keepNext w:val="0"/>
        <w:keepLines w:val="0"/>
        <w:spacing w:before="0" w:after="60" w:line="276" w:lineRule="auto"/>
      </w:pPr>
      <w:r>
        <w:rPr>
          <w:rFonts w:ascii="Calibri" w:hAnsi="Calibri" w:eastAsia="Calibri"/>
          <w:b w:val="0"/>
          <w:i w:val="0"/>
        </w:rPr>
        <w:t>Recent PEP, oral PrEP, cabotegravir, or lenacapavir use; missed long-acting injections; new STI diagnosis.</w:t>
      </w: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If acute HIV is possible</w:t>
            </w:r>
          </w:p>
          <w:p>
            <w:pPr>
              <w:keepNext w:val="0"/>
              <w:keepLines w:val="0"/>
              <w:spacing w:before="0" w:after="0" w:line="264" w:lineRule="auto"/>
            </w:pPr>
            <w:r>
              <w:rPr>
                <w:rFonts w:ascii="Calibri" w:hAnsi="Calibri" w:eastAsia="Calibri"/>
                <w:b w:val="0"/>
                <w:i w:val="0"/>
                <w:sz w:val="20"/>
              </w:rPr>
              <w:t>Do not administer lenacapavir. Obtain a blood-based laboratory Ag/Ab test and HIV RNA/NAT if available. Repeat testing on a new specimen if results are discordant. If the qualifying exposure was within 72 hours and HIV is not diagnosed, start PEP immediately while the evaluation continues.</w:t>
            </w:r>
          </w:p>
        </w:tc>
      </w:tr>
    </w:tbl>
    <w:p>
      <w:pPr>
        <w:keepNext w:val="0"/>
        <w:keepLines w:val="0"/>
        <w:spacing w:before="0" w:after="40" w:line="276" w:lineRule="auto"/>
      </w:pPr>
    </w:p>
    <w:p>
      <w:pPr>
        <w:pStyle w:val="Heading2"/>
      </w:pPr>
      <w:r>
        <w:t>2.4 Medical and medication history</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Previous HIV tests, PEP/PrEP products and dates; specifically record the date of the last long-acting injection.</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Hepatitis B and C history, vaccination status, liver disease, jaundice, and previous HBV treatment.</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Renal disease, dialysis, diabetes, hypertension, bone disease, or nephrotoxic medicines.</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Active or previous tuberculosis, current TB symptoms, planned TB preventive therapy, and all rifamycin exposure.</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Seizure disorder; anticonvulsants including carbamazepine, phenytoin, phenobarbital, or oxcarbazepine.</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All prescribed medicines, OTC products, supplements and herbal/traditional products; verify each interaction.</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Drug allergies, prior serious cutaneous or injection reactions, pregnancy/lactation, and severe hepatic disease.</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Capacity to tolerate subcutaneous abdominal or thigh injections and acceptance of possible long-lasting nodules.</w:t>
            </w:r>
          </w:p>
        </w:tc>
      </w:tr>
    </w:tbl>
    <w:p>
      <w:pPr>
        <w:spacing w:after="40"/>
      </w:pP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9994"/>
      </w:tblGrid>
      <w:tr>
        <w:tc>
          <w:tcPr>
            <w:tcW w:type="dxa" w:w="9360"/>
            <w:shd w:fill="E8F1F8"/>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2E74B5"/>
                <w:sz w:val="21"/>
              </w:rPr>
              <w:t>Renal and hepatic function</w:t>
            </w:r>
          </w:p>
          <w:p>
            <w:pPr>
              <w:keepNext w:val="0"/>
              <w:keepLines w:val="0"/>
              <w:spacing w:before="0" w:after="0" w:line="264" w:lineRule="auto"/>
            </w:pPr>
            <w:r>
              <w:rPr>
                <w:rFonts w:ascii="Calibri" w:hAnsi="Calibri" w:eastAsia="Calibri"/>
                <w:b w:val="0"/>
                <w:i w:val="0"/>
                <w:sz w:val="20"/>
              </w:rPr>
              <w:t>Lenacapavir itself has no dose adjustment for creatinine clearance ≥15 mL/min; end-stage renal disease and Child-Pugh C hepatic impairment have not been studied. Kidney testing is not a clearance threshold for an otherwise healthy LEN client, but is required when considering oral tenofovir or when comorbidity warrants it. Obtain specialist advice for ESRD, decompensated liver disease, or major unexplained abnormalities. [2]</w:t>
            </w:r>
          </w:p>
        </w:tc>
      </w:tr>
    </w:tbl>
    <w:p>
      <w:pPr>
        <w:keepNext w:val="0"/>
        <w:keepLines w:val="0"/>
        <w:spacing w:before="0" w:after="40" w:line="276" w:lineRule="auto"/>
      </w:pPr>
    </w:p>
    <w:p>
      <w:pPr>
        <w:pStyle w:val="Heading2"/>
      </w:pPr>
      <w:r>
        <w:t>2.5 Readiness for a long-acting method</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Client understands Day 1 injection plus oral loading and the separate Day 2 oral dose.</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Client agrees to HIV testing before every 26-week injection and to urgent testing if symptoms occur.</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Client can attend within the ±2-week injection window or has a realistic oral bridging plan.</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Clinic has a discreet reminder/recall method and up-to-date contact details approved by the client.</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Client understands that protection cannot be assumed after the scheduled interval and that drug remains in the body during a long tail.</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Alternative PrEP, PEP access, and a discontinuation plan have been discussed.</w:t>
            </w:r>
          </w:p>
        </w:tc>
      </w:tr>
    </w:tbl>
    <w:p>
      <w:pPr>
        <w:spacing w:after="40"/>
      </w:pPr>
    </w:p>
    <w:p>
      <w:pPr>
        <w:pStyle w:val="Heading1"/>
      </w:pPr>
      <w:r>
        <w:t>3. Baseline examination and investigations</w:t>
      </w:r>
    </w:p>
    <w:p>
      <w:pPr>
        <w:pStyle w:val="Heading2"/>
      </w:pPr>
      <w:r>
        <w:t>3.1 Focused examination</w:t>
      </w:r>
    </w:p>
    <w:p>
      <w:pPr>
        <w:pStyle w:val="ListBullet"/>
        <w:keepNext w:val="0"/>
        <w:keepLines w:val="0"/>
        <w:spacing w:before="0" w:after="60" w:line="276" w:lineRule="auto"/>
      </w:pPr>
      <w:r>
        <w:rPr>
          <w:rFonts w:ascii="Calibri" w:hAnsi="Calibri" w:eastAsia="Calibri"/>
          <w:b w:val="0"/>
          <w:i w:val="0"/>
        </w:rPr>
        <w:t>Record weight and vital signs. Confirm ≥35 kg for the licensed LEN PrEP regimen.</w:t>
      </w:r>
    </w:p>
    <w:p>
      <w:pPr>
        <w:pStyle w:val="ListBullet"/>
        <w:keepNext w:val="0"/>
        <w:keepLines w:val="0"/>
        <w:spacing w:before="0" w:after="60" w:line="276" w:lineRule="auto"/>
      </w:pPr>
      <w:r>
        <w:rPr>
          <w:rFonts w:ascii="Calibri" w:hAnsi="Calibri" w:eastAsia="Calibri"/>
          <w:b w:val="0"/>
          <w:i w:val="0"/>
        </w:rPr>
        <w:t>Look for an acute viral syndrome, generalized lymphadenopathy, rash, oral/genital ulcers, jaundice, or features of active TB when indicated.</w:t>
      </w:r>
    </w:p>
    <w:p>
      <w:pPr>
        <w:pStyle w:val="ListBullet"/>
        <w:keepNext w:val="0"/>
        <w:keepLines w:val="0"/>
        <w:spacing w:before="0" w:after="60" w:line="276" w:lineRule="auto"/>
      </w:pPr>
      <w:r>
        <w:rPr>
          <w:rFonts w:ascii="Calibri" w:hAnsi="Calibri" w:eastAsia="Calibri"/>
          <w:b w:val="0"/>
          <w:i w:val="0"/>
        </w:rPr>
        <w:t>Perform genital, rectal, oral, skin, pregnancy, or safeguarding examination only when clinically indicated, with consent and a chaperone according to policy.</w:t>
      </w:r>
    </w:p>
    <w:p>
      <w:pPr>
        <w:pStyle w:val="Heading2"/>
      </w:pPr>
      <w:r>
        <w:t>3.2 Test matrix</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5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Test</w:t>
            </w:r>
          </w:p>
        </w:tc>
        <w:tc>
          <w:tcPr>
            <w:tcW w:type="dxa" w:w="18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Timing</w:t>
            </w:r>
          </w:p>
        </w:tc>
        <w:tc>
          <w:tcPr>
            <w:tcW w:type="dxa" w:w="412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Interpretation/action</w:t>
            </w:r>
          </w:p>
        </w:tc>
        <w:tc>
          <w:tcPr>
            <w:tcW w:type="dxa" w:w="184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Required or targeted</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HIV test</w:t>
            </w:r>
          </w:p>
        </w:tc>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Same day or within 7 days before injection</w:t>
            </w:r>
          </w:p>
        </w:tc>
        <w:tc>
          <w:tcPr>
            <w:tcW w:type="dxa" w:w="412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Use the current Nigeria algorithm. Prefer blood-based Ag/Ab. If positive, unknown, discordant or ambiguous: no LEN.</w:t>
            </w:r>
          </w:p>
        </w:tc>
        <w:tc>
          <w:tcPr>
            <w:tcW w:type="dxa" w:w="184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Required</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HIV RNA/NAT</w:t>
            </w:r>
          </w:p>
        </w:tc>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At initiation if available; urgently if symptoms, ambiguity, recent PEP/PrEP or LAI exposure</w:t>
            </w:r>
          </w:p>
        </w:tc>
        <w:tc>
          <w:tcPr>
            <w:tcW w:type="dxa" w:w="412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 not delay a nationally authorized same-day start solely for a pending RNA result if current protocol permits; ensure rapid confidential recall.</w:t>
            </w:r>
          </w:p>
        </w:tc>
        <w:tc>
          <w:tcPr>
            <w:tcW w:type="dxa" w:w="184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Enhanced safety / targeted</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Repeat HIV Ag/Ab</w:t>
            </w:r>
          </w:p>
        </w:tc>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About 4 weeks after initiation if RNA unavailable at baseline</w:t>
            </w:r>
          </w:p>
        </w:tc>
        <w:tc>
          <w:tcPr>
            <w:tcW w:type="dxa" w:w="412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Helps exclude an undetected baseline infection. Repeat sooner for symptoms.</w:t>
            </w:r>
          </w:p>
        </w:tc>
        <w:tc>
          <w:tcPr>
            <w:tcW w:type="dxa" w:w="184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Recommended when RNA unavailable</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Syphilis serology</w:t>
            </w:r>
          </w:p>
        </w:tc>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Baseline; repeat by risk/local schedule</w:t>
            </w:r>
          </w:p>
        </w:tc>
        <w:tc>
          <w:tcPr>
            <w:tcW w:type="dxa" w:w="412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Treat and notify/offer partner services if positive; a new STI also triggers repeat HIV assessment.</w:t>
            </w:r>
          </w:p>
        </w:tc>
        <w:tc>
          <w:tcPr>
            <w:tcW w:type="dxa" w:w="184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All sexually active clients</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Gonorrhea/chlamydia NAAT</w:t>
            </w:r>
          </w:p>
        </w:tc>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Baseline at every exposed site: urine/vaginal, rectal, pharyngeal as applicable</w:t>
            </w:r>
          </w:p>
        </w:tc>
        <w:tc>
          <w:tcPr>
            <w:tcW w:type="dxa" w:w="412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Treat per current national/local susceptibility guidance; do not rely on urine testing alone after rectal/pharyngeal exposure.</w:t>
            </w:r>
          </w:p>
        </w:tc>
        <w:tc>
          <w:tcPr>
            <w:tcW w:type="dxa" w:w="184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Where available; syndromic pathway if not</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HBV triple panel</w:t>
            </w:r>
          </w:p>
        </w:tc>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HBsAg, anti-HBs, total anti-HBc before or near initiation</w:t>
            </w:r>
          </w:p>
        </w:tc>
        <w:tc>
          <w:tcPr>
            <w:tcW w:type="dxa" w:w="412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Vaccinate if susceptible. If switching off TDF/FTC or TDF/3TC with chronic HBV, arrange continued HBV-active treatment.</w:t>
            </w:r>
          </w:p>
        </w:tc>
        <w:tc>
          <w:tcPr>
            <w:tcW w:type="dxa" w:w="184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Recommended</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HCV antibody ± RNA</w:t>
            </w:r>
          </w:p>
        </w:tc>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Baseline; repeat for blood/injection risk or exposure</w:t>
            </w:r>
          </w:p>
        </w:tc>
        <w:tc>
          <w:tcPr>
            <w:tcW w:type="dxa" w:w="412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No HCV PEP exists; link positive RNA to treatment.</w:t>
            </w:r>
          </w:p>
        </w:tc>
        <w:tc>
          <w:tcPr>
            <w:tcW w:type="dxa" w:w="184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Risk-based / once for adults per policy</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Pregnancy test</w:t>
            </w:r>
          </w:p>
        </w:tc>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When pregnancy is possible and status is unknown</w:t>
            </w:r>
          </w:p>
        </w:tc>
        <w:tc>
          <w:tcPr>
            <w:tcW w:type="dxa" w:w="412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Pregnancy is not an automatic exclusion; use shared decision-making and current perinatal/national guidance.</w:t>
            </w:r>
          </w:p>
        </w:tc>
        <w:tc>
          <w:tcPr>
            <w:tcW w:type="dxa" w:w="184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As applicable</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Creatinine/eCrCl, urinalysis</w:t>
            </w:r>
          </w:p>
        </w:tc>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Baseline for oral tenofovir; targeted for LEN</w:t>
            </w:r>
          </w:p>
        </w:tc>
        <w:tc>
          <w:tcPr>
            <w:tcW w:type="dxa" w:w="412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TDF-based PrEP generally needs eCrCl ≥60 mL/min. LEN has no dose adjustment at eCrCl ≥15 mL/min.</w:t>
            </w:r>
          </w:p>
        </w:tc>
        <w:tc>
          <w:tcPr>
            <w:tcW w:type="dxa" w:w="184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Product/comorbidity specific</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ALT/AST ± bilirubin</w:t>
            </w:r>
          </w:p>
        </w:tc>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If hepatitis, liver disease, symptoms, or hepatotoxic drugs</w:t>
            </w:r>
          </w:p>
        </w:tc>
        <w:tc>
          <w:tcPr>
            <w:tcW w:type="dxa" w:w="412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Investigate significant abnormalities; seek specialist advice for severe hepatic impairment.</w:t>
            </w:r>
          </w:p>
        </w:tc>
        <w:tc>
          <w:tcPr>
            <w:tcW w:type="dxa" w:w="184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Targeted</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0F766E"/>
          <w:left w:val="single" w:sz="8" w:space="0" w:color="0F766E"/>
          <w:bottom w:val="single" w:sz="8" w:space="0" w:color="0F766E"/>
          <w:right w:val="single" w:sz="8" w:space="0" w:color="0F766E"/>
        </w:tblBorders>
      </w:tblPr>
      <w:tblGrid>
        <w:gridCol w:w="9994"/>
      </w:tblGrid>
      <w:tr>
        <w:tc>
          <w:tcPr>
            <w:tcW w:type="dxa" w:w="9360"/>
            <w:shd w:fill="E6F4F1"/>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0F766E"/>
                <w:sz w:val="21"/>
              </w:rPr>
              <w:t>Two valid HIV-testing approaches</w:t>
            </w:r>
          </w:p>
          <w:p>
            <w:pPr>
              <w:keepNext w:val="0"/>
              <w:keepLines w:val="0"/>
              <w:spacing w:before="0" w:after="0" w:line="264" w:lineRule="auto"/>
            </w:pPr>
            <w:r>
              <w:rPr>
                <w:rFonts w:ascii="Calibri" w:hAnsi="Calibri" w:eastAsia="Calibri"/>
                <w:b w:val="0"/>
                <w:i w:val="0"/>
                <w:sz w:val="20"/>
              </w:rPr>
              <w:t>WHO supports nationally validated rapid diagnostic test algorithms for long-acting PrEP. The FDA label/CDC approach uses a blood-based Ag/Ab test and adds HIV RNA at initiation when available. Nigerian services should follow the current FMOH/NASCP LEN rollout algorithm; add RNA whenever acute infection, recent antiretroviral exposure, or discordant results increase uncertainty. [1–3]</w:t>
            </w:r>
          </w:p>
        </w:tc>
      </w:tr>
    </w:tbl>
    <w:p>
      <w:pPr>
        <w:keepNext w:val="0"/>
        <w:keepLines w:val="0"/>
        <w:spacing w:before="0" w:after="40" w:line="276" w:lineRule="auto"/>
      </w:pPr>
    </w:p>
    <w:p>
      <w:pPr>
        <w:pStyle w:val="Heading1"/>
      </w:pPr>
      <w:r>
        <w:t>4. Drug-interaction clearance</w:t>
      </w:r>
    </w:p>
    <w:p>
      <w:pPr>
        <w:keepNext w:val="0"/>
        <w:keepLines w:val="0"/>
        <w:spacing w:before="0" w:after="100" w:line="276" w:lineRule="auto"/>
      </w:pPr>
      <w:r>
        <w:rPr>
          <w:rFonts w:ascii="Calibri" w:hAnsi="Calibri" w:eastAsia="Calibri"/>
          <w:b w:val="0"/>
          <w:i w:val="0"/>
        </w:rPr>
        <w:t>Lenacapavir is a substrate of P-glycoprotein, UGT1A1 and CYP3A. It is also a moderate CYP3A inhibitor and a P-glycoprotein inhibitor. The interaction review must cover current therapy and medicines likely to be started during the next nine months. [2]</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5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Interaction group</w:t>
            </w:r>
          </w:p>
        </w:tc>
        <w:tc>
          <w:tcPr>
            <w:tcW w:type="dxa" w:w="28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Important examples</w:t>
            </w:r>
          </w:p>
        </w:tc>
        <w:tc>
          <w:tcPr>
            <w:tcW w:type="dxa" w:w="21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Clinical consequence</w:t>
            </w:r>
          </w:p>
        </w:tc>
        <w:tc>
          <w:tcPr>
            <w:tcW w:type="dxa" w:w="28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Junior-doctor action</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Strong/moderate inducers</w:t>
            </w:r>
          </w:p>
        </w:tc>
        <w:tc>
          <w:tcPr>
            <w:tcW w:type="dxa" w:w="2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Rifampicin, rifapentine, rifabutin; carbamazepine, phenytoin, phenobarbital, oxcarbazepine; selected ARVs such as efavirenz/nevirapine; St John’s wort</w:t>
            </w:r>
          </w:p>
        </w:tc>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May lower LEN concentration and reduce efficacy.</w:t>
            </w:r>
          </w:p>
        </w:tc>
        <w:tc>
          <w:tcPr>
            <w:tcW w:type="dxa" w:w="2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If already taking at LEN initiation, do not clear without specialist/pharmacist review; initiation dosing is not established. Prefer another PrEP method.</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Combined strong inhibitors</w:t>
            </w:r>
          </w:p>
        </w:tc>
        <w:tc>
          <w:tcPr>
            <w:tcW w:type="dxa" w:w="28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Products that jointly inhibit P-gp, UGT1A1 and strong CYP3A pathways, including some boosted ARV combinations</w:t>
            </w:r>
          </w:p>
        </w:tc>
        <w:tc>
          <w:tcPr>
            <w:tcW w:type="dxa" w:w="2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May markedly increase LEN exposure.</w:t>
            </w:r>
          </w:p>
        </w:tc>
        <w:tc>
          <w:tcPr>
            <w:tcW w:type="dxa" w:w="2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Avoid unless current product information and specialist review support use.</w:t>
            </w:r>
          </w:p>
        </w:tc>
      </w:tr>
      <w:tr>
        <w:trPr>
          <w:cantSplit/>
        </w:trPr>
        <w:tc>
          <w:tcPr>
            <w:tcW w:type="dxa" w:w="15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Sensitive CYP3A/P-gp substrates</w:t>
            </w:r>
          </w:p>
        </w:tc>
        <w:tc>
          <w:tcPr>
            <w:tcW w:type="dxa" w:w="2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Narrow-therapeutic-index sedatives, immunosuppressants, antiarrhythmics, anticoagulants, ergot derivatives and other sensitive substrates</w:t>
            </w:r>
          </w:p>
        </w:tc>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LEN may increase co-medication exposure for up to 9 months after the last injection.</w:t>
            </w:r>
          </w:p>
        </w:tc>
        <w:tc>
          <w:tcPr>
            <w:tcW w:type="dxa" w:w="2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Use a reliable interaction checker and pharmacist review; adjust or monitor the substrate as its label directs.</w:t>
            </w:r>
          </w:p>
        </w:tc>
      </w:tr>
      <w:tr>
        <w:trPr>
          <w:cantSplit/>
        </w:trPr>
        <w:tc>
          <w:tcPr>
            <w:tcW w:type="dxa" w:w="15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Herbal/traditional/OTC</w:t>
            </w:r>
          </w:p>
        </w:tc>
        <w:tc>
          <w:tcPr>
            <w:tcW w:type="dxa" w:w="28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Inducer-containing remedies, supplements with uncertain ingredients, repeated high-dose NSAIDs when oral TDF is considered</w:t>
            </w:r>
          </w:p>
        </w:tc>
        <w:tc>
          <w:tcPr>
            <w:tcW w:type="dxa" w:w="2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Unknown efficacy or toxicity risk.</w:t>
            </w:r>
          </w:p>
        </w:tc>
        <w:tc>
          <w:tcPr>
            <w:tcW w:type="dxa" w:w="2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Ask nonjudgmentally, identify ingredients, and do not assume ‘natural’ means interaction-free.</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Tuberculosis safety pause</w:t>
            </w:r>
          </w:p>
          <w:p>
            <w:pPr>
              <w:keepNext w:val="0"/>
              <w:keepLines w:val="0"/>
              <w:spacing w:before="0" w:after="0" w:line="264" w:lineRule="auto"/>
            </w:pPr>
            <w:r>
              <w:rPr>
                <w:rFonts w:ascii="Calibri" w:hAnsi="Calibri" w:eastAsia="Calibri"/>
                <w:b w:val="0"/>
                <w:i w:val="0"/>
                <w:sz w:val="20"/>
              </w:rPr>
              <w:t>Before LEN, screen for active TB symptoms and current/planned rifamycin therapy. If active TB is possible or rifampicin/rifapentine treatment may start soon, use an alternative PrEP method while the HIV/TB team defines a compatible plan. If an inducer is newly required after a LEN injection, contact the specialist/pharmacist the same day because label-specific supplemental dosing may be needed.</w:t>
            </w:r>
          </w:p>
        </w:tc>
      </w:tr>
    </w:tbl>
    <w:p>
      <w:pPr>
        <w:keepNext w:val="0"/>
        <w:keepLines w:val="0"/>
        <w:spacing w:before="0" w:after="40" w:line="276" w:lineRule="auto"/>
      </w:pPr>
    </w:p>
    <w:p>
      <w:pPr>
        <w:keepNext w:val="0"/>
        <w:keepLines w:val="0"/>
        <w:spacing w:before="0" w:after="100" w:line="276" w:lineRule="auto"/>
      </w:pPr>
      <w:r>
        <w:rPr>
          <w:rFonts w:ascii="Calibri" w:hAnsi="Calibri" w:eastAsia="Calibri"/>
          <w:b w:val="0"/>
          <w:i/>
        </w:rPr>
        <w:t>The examples above are not exhaustive. Record the interaction resource, date checked, and reviewer. Do not copy supplemental dosing from an old label or from the treatment formulation of lenacapavir.</w:t>
      </w:r>
    </w:p>
    <w:p>
      <w:pPr>
        <w:pStyle w:val="Heading1"/>
      </w:pPr>
      <w:r>
        <w:t>5. Make and document the eligibility decision</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7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Decision</w:t>
            </w:r>
          </w:p>
        </w:tc>
        <w:tc>
          <w:tcPr>
            <w:tcW w:type="dxa" w:w="43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Criteria</w:t>
            </w:r>
          </w:p>
        </w:tc>
        <w:tc>
          <w:tcPr>
            <w:tcW w:type="dxa" w:w="32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Action today</w:t>
            </w:r>
          </w:p>
        </w:tc>
      </w:tr>
      <w:tr>
        <w:trPr>
          <w:cantSplit/>
        </w:trPr>
        <w:tc>
          <w:tcPr>
            <w:tcW w:type="dxa" w:w="17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CLEAR TODAY</w:t>
            </w:r>
          </w:p>
        </w:tc>
        <w:tc>
          <w:tcPr>
            <w:tcW w:type="dxa" w:w="43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HIV-negative under current algorithm; no acute HIV concern; ≥35 kg; sexually acquired HIV risk or benefit; no unresolved interaction; informed choice; follow-up feasible.</w:t>
            </w:r>
          </w:p>
        </w:tc>
        <w:tc>
          <w:tcPr>
            <w:tcW w:type="dxa" w:w="32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Complete baseline package, administer correct loading regimen, record lot/sites, book Day 2 confirmation and 26-week visit window.</w:t>
            </w:r>
          </w:p>
        </w:tc>
      </w:tr>
      <w:tr>
        <w:trPr>
          <w:cantSplit/>
        </w:trPr>
        <w:tc>
          <w:tcPr>
            <w:tcW w:type="dxa" w:w="17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DEFER AND INVESTIGATE</w:t>
            </w:r>
          </w:p>
        </w:tc>
        <w:tc>
          <w:tcPr>
            <w:tcW w:type="dxa" w:w="43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Acute viral symptoms/recent high-risk exposure outside PEP window; RNA pending because infection is plausible; ambiguous testing; active TB evaluation; unresolved interaction; severe liver/renal uncertainty; consent or follow-up barrier.</w:t>
            </w:r>
          </w:p>
        </w:tc>
        <w:tc>
          <w:tcPr>
            <w:tcW w:type="dxa" w:w="32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 not inject. Obtain urgent tests/review. Provide condoms and, when HIV-negative and appropriate, an oral PrEP bridge or another approved option.</w:t>
            </w:r>
          </w:p>
        </w:tc>
      </w:tr>
      <w:tr>
        <w:trPr>
          <w:cantSplit/>
        </w:trPr>
        <w:tc>
          <w:tcPr>
            <w:tcW w:type="dxa" w:w="1750"/>
            <w:tcMar>
              <w:top w:w="75" w:type="dxa"/>
              <w:start w:w="90" w:type="dxa"/>
              <w:bottom w:w="75" w:type="dxa"/>
              <w:end w:w="90" w:type="dxa"/>
            </w:tcMar>
            <w:vAlign w:val="top"/>
            <w:shd w:fill="E8F1F8"/>
          </w:tcPr>
          <w:p>
            <w:pPr>
              <w:keepNext w:val="0"/>
              <w:keepLines w:val="0"/>
              <w:spacing w:before="0" w:after="0" w:line="252" w:lineRule="auto"/>
            </w:pPr>
            <w:r>
              <w:rPr>
                <w:rFonts w:ascii="Calibri" w:hAnsi="Calibri" w:eastAsia="Calibri"/>
                <w:b/>
                <w:i w:val="0"/>
                <w:color w:val="123B56"/>
                <w:sz w:val="16"/>
              </w:rPr>
              <w:t>DO NOT GIVE LEN; USE ALTERNATIVE/REFER</w:t>
            </w:r>
          </w:p>
        </w:tc>
        <w:tc>
          <w:tcPr>
            <w:tcW w:type="dxa" w:w="43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Confirmed HIV; weight &lt;35 kg; serious hypersensitivity; only injection-drug exposure under a sexual-acquisition label; incompatible medicine with no safe dosing plan; client declines; product/site not authorized.</w:t>
            </w:r>
          </w:p>
        </w:tc>
        <w:tc>
          <w:tcPr>
            <w:tcW w:type="dxa" w:w="32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Link confirmed HIV to ART immediately; otherwise offer an appropriate oral/CAB/ring option, harm reduction, or specialist care.</w:t>
            </w:r>
          </w:p>
        </w:tc>
      </w:tr>
    </w:tbl>
    <w:p>
      <w:pPr>
        <w:keepNext w:val="0"/>
        <w:keepLines w:val="0"/>
        <w:spacing w:before="0" w:after="40" w:line="276" w:lineRule="auto"/>
      </w:pPr>
    </w:p>
    <w:p>
      <w:pPr>
        <w:pStyle w:val="Heading2"/>
      </w:pPr>
      <w:r>
        <w:t>Minimum documentation for clearance</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Indication and exposure route; PEP triage completed and time of last exposure recorded.</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HIV test type, specimen, result, date/time; HIV RNA status and recall plan if pending.</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Acute HIV symptom screen, weight, pregnancy/lactation discussion when relevant.</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HBV status, STI screening plan, and renal/liver tests when product/comorbidity indicates.</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Complete medicine/herbal review, interaction resource used, date, and pharmacist/specialist input.</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Shared decision and alternatives discussed; consent; counseling on nodules, tail, missed doses and STI limitations.</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Product, dose, lot, expiry, injection sites, administrator, date/time, and next injection due date/window.</w:t>
            </w:r>
          </w:p>
        </w:tc>
      </w:tr>
    </w:tbl>
    <w:p>
      <w:pPr>
        <w:spacing w:after="40"/>
      </w:pPr>
    </w:p>
    <w:p>
      <w:pPr>
        <w:pStyle w:val="Heading1"/>
      </w:pPr>
      <w:r>
        <w:t>6. Lenacapavir initiation and administration</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Time</w:t>
            </w:r>
          </w:p>
        </w:tc>
        <w:tc>
          <w:tcPr>
            <w:tcW w:type="dxa" w:w="38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Required dose</w:t>
            </w:r>
          </w:p>
        </w:tc>
        <w:tc>
          <w:tcPr>
            <w:tcW w:type="dxa" w:w="42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Administration note</w:t>
            </w:r>
          </w:p>
        </w:tc>
      </w:tr>
      <w:tr>
        <w:trPr>
          <w:cantSplit/>
        </w:trPr>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Day 1</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Lenacapavir 927 mg SC as two 1.5 mL injections (463.5 mg each) PLUS 600 mg orally as two 300 mg tablets</w:t>
            </w:r>
          </w:p>
        </w:tc>
        <w:tc>
          <w:tcPr>
            <w:tcW w:type="dxa" w:w="42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Give both injections in immediate sequence at least 10 cm (4 inches) apart. Use abdomen or anterior thigh as permitted by current product instructions.</w:t>
            </w:r>
          </w:p>
        </w:tc>
      </w:tr>
      <w:tr>
        <w:trPr>
          <w:cantSplit/>
        </w:trPr>
        <w:tc>
          <w:tcPr>
            <w:tcW w:type="dxa" w:w="1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Day 2</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Lenacapavir 600 mg orally as two 300 mg tablets</w:t>
            </w:r>
          </w:p>
        </w:tc>
        <w:tc>
          <w:tcPr>
            <w:tcW w:type="dxa" w:w="42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Confirm taken. If missed, take as soon as possible; do not combine Day 1 and Day 2 oral doses on the same day.</w:t>
            </w:r>
          </w:p>
        </w:tc>
      </w:tr>
      <w:tr>
        <w:trPr>
          <w:cantSplit/>
        </w:trPr>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Maintenance</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Lenacapavir 927 mg SC as two 1.5 mL injections</w:t>
            </w:r>
          </w:p>
        </w:tc>
        <w:tc>
          <w:tcPr>
            <w:tcW w:type="dxa" w:w="42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Every 26 weeks, with an allowed window of ±2 weeks from the previous injection date.</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Dose-counting safety</w:t>
            </w:r>
          </w:p>
          <w:p>
            <w:pPr>
              <w:keepNext w:val="0"/>
              <w:keepLines w:val="0"/>
              <w:spacing w:before="0" w:after="0" w:line="264" w:lineRule="auto"/>
            </w:pPr>
            <w:r>
              <w:rPr>
                <w:rFonts w:ascii="Calibri" w:hAnsi="Calibri" w:eastAsia="Calibri"/>
                <w:b w:val="0"/>
                <w:i w:val="0"/>
                <w:sz w:val="20"/>
              </w:rPr>
              <w:t>A complete 927 mg injection dose requires two subcutaneous injections. Public-facing descriptions may call this ‘one dose’ or ‘one injection visit’; do not mistake that wording for a single 1.5 mL injection.</w:t>
            </w:r>
          </w:p>
        </w:tc>
      </w:tr>
    </w:tbl>
    <w:p>
      <w:pPr>
        <w:keepNext w:val="0"/>
        <w:keepLines w:val="0"/>
        <w:spacing w:before="0" w:after="40" w:line="276" w:lineRule="auto"/>
      </w:pPr>
    </w:p>
    <w:p>
      <w:pPr>
        <w:pStyle w:val="Heading2"/>
      </w:pPr>
      <w:r>
        <w:t>Administration checklist</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Verify the client, HIV-negative eligibility, product, strength, expiry, two vials/complete kit, and oral loading tablets.</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Follow the manufacturer’s current preparation instructions exactly; use aseptic technique and inspect the solution.</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Administer subcutaneously only. Never inject intradermally or intramuscularly.</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Use two separate sites at least 10 cm apart and document each site; avoid inflamed, scarred, infected or damaged skin.</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Observe according to facility policy and provide written advice on expected nodules, pain, swelling and red flags.</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Record the next due date, earliest and latest acceptable dates, and the confidential reminder plan before discharge.</w:t>
            </w:r>
          </w:p>
        </w:tc>
      </w:tr>
    </w:tbl>
    <w:p>
      <w:pPr>
        <w:spacing w:after="40"/>
      </w:pP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9994"/>
      </w:tblGrid>
      <w:tr>
        <w:tc>
          <w:tcPr>
            <w:tcW w:type="dxa" w:w="9360"/>
            <w:shd w:fill="E8F1F8"/>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2E74B5"/>
                <w:sz w:val="21"/>
              </w:rPr>
              <w:t>Time to protection</w:t>
            </w:r>
          </w:p>
          <w:p>
            <w:pPr>
              <w:keepNext w:val="0"/>
              <w:keepLines w:val="0"/>
              <w:spacing w:before="0" w:after="0" w:line="264" w:lineRule="auto"/>
            </w:pPr>
            <w:r>
              <w:rPr>
                <w:rFonts w:ascii="Calibri" w:hAnsi="Calibri" w:eastAsia="Calibri"/>
                <w:b w:val="0"/>
                <w:i w:val="0"/>
                <w:sz w:val="20"/>
              </w:rPr>
              <w:t>Limited pharmacokinetic data suggest protective concentrations about two hours after the Day 2 oral loading dose when both oral loading days are taken. Clinical data are limited. Do not promise instant protection; recommend condoms/other prevention through completion of Day 2 and follow the current national rollout instructions for any oral PrEP bridge. [3]</w:t>
            </w:r>
          </w:p>
        </w:tc>
      </w:tr>
    </w:tbl>
    <w:p>
      <w:pPr>
        <w:keepNext w:val="0"/>
        <w:keepLines w:val="0"/>
        <w:spacing w:before="0" w:after="40" w:line="276" w:lineRule="auto"/>
      </w:pPr>
    </w:p>
    <w:p>
      <w:pPr>
        <w:pStyle w:val="Heading1"/>
      </w:pPr>
      <w:r>
        <w:t>7. Follow-up, missed injections, discontinuation and adverse events</w:t>
      </w:r>
    </w:p>
    <w:p>
      <w:pPr>
        <w:pStyle w:val="Heading2"/>
      </w:pPr>
      <w:r>
        <w:t>7.1 Routine follow-up</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tblHeader w:val="true"/>
          <w:cantSplit/>
        </w:trPr>
        <w:tc>
          <w:tcPr>
            <w:tcW w:type="dxa" w:w="18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Contact</w:t>
            </w:r>
          </w:p>
        </w:tc>
        <w:tc>
          <w:tcPr>
            <w:tcW w:type="dxa" w:w="75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Required actions</w:t>
            </w:r>
          </w:p>
        </w:tc>
      </w:tr>
      <w:tr>
        <w:trPr>
          <w:cantSplit/>
        </w:trPr>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Day 2</w:t>
            </w:r>
          </w:p>
        </w:tc>
        <w:tc>
          <w:tcPr>
            <w:tcW w:type="dxa" w:w="7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Confirm oral 600 mg dose, tolerability, contact details and next injection booking.</w:t>
            </w:r>
          </w:p>
        </w:tc>
      </w:tr>
      <w:tr>
        <w:trPr>
          <w:cantSplit/>
        </w:trPr>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About 4 weeks</w:t>
            </w:r>
          </w:p>
        </w:tc>
        <w:tc>
          <w:tcPr>
            <w:tcW w:type="dxa" w:w="7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If baseline HIV RNA was unavailable, repeat a blood-based laboratory Ag/Ab test. Consider a general 1-month review for injection-site reactions, support needs, and new medicines.</w:t>
            </w:r>
          </w:p>
        </w:tc>
      </w:tr>
      <w:tr>
        <w:trPr>
          <w:cantSplit/>
        </w:trPr>
        <w:tc>
          <w:tcPr>
            <w:tcW w:type="dxa" w:w="18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Every 26 weeks ±2 weeks</w:t>
            </w:r>
          </w:p>
        </w:tc>
        <w:tc>
          <w:tcPr>
            <w:tcW w:type="dxa" w:w="75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Before dosing: acute-HIV symptom screen; negative HIV test under current algorithm; interaction review; medication and TB update; pregnancy/reproductive review; injection-site review; STI/hepatitis services; reassess preference and ongoing need.</w:t>
            </w:r>
          </w:p>
        </w:tc>
      </w:tr>
      <w:tr>
        <w:trPr>
          <w:cantSplit/>
        </w:trPr>
        <w:tc>
          <w:tcPr>
            <w:tcW w:type="dxa" w:w="18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Any time</w:t>
            </w:r>
          </w:p>
        </w:tc>
        <w:tc>
          <w:tcPr>
            <w:tcW w:type="dxa" w:w="75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Urgent HIV Ag/Ab plus RNA if possible for acute viral illness, new STI, high-risk exposure, missed injection, or ambiguous test. Review any new TB medicine, anticonvulsant, ARV or herbal product before it is started when feasible.</w:t>
            </w:r>
          </w:p>
        </w:tc>
      </w:tr>
    </w:tbl>
    <w:p>
      <w:pPr>
        <w:keepNext w:val="0"/>
        <w:keepLines w:val="0"/>
        <w:spacing w:before="0" w:after="40" w:line="276" w:lineRule="auto"/>
      </w:pPr>
    </w:p>
    <w:p>
      <w:pPr>
        <w:pStyle w:val="Heading2"/>
      </w:pPr>
      <w:r>
        <w:t>7.2 Missed or delayed injection</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tblHeader w:val="true"/>
          <w:cantSplit/>
        </w:trPr>
        <w:tc>
          <w:tcPr>
            <w:tcW w:type="dxa" w:w="31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Scenario</w:t>
            </w:r>
          </w:p>
        </w:tc>
        <w:tc>
          <w:tcPr>
            <w:tcW w:type="dxa" w:w="62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Action</w:t>
            </w:r>
          </w:p>
        </w:tc>
      </w:tr>
      <w:tr>
        <w:trPr>
          <w:cantSplit/>
        </w:trPr>
        <w:tc>
          <w:tcPr>
            <w:tcW w:type="dxa" w:w="3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Planned delay &gt;2 weeks</w:t>
            </w:r>
          </w:p>
        </w:tc>
        <w:tc>
          <w:tcPr>
            <w:tcW w:type="dxa" w:w="6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Start oral lenacapavir 300 mg once every 7 days at 26 weeks after the last injection, for up to 26 weeks if needed. Resume the maintenance injection within 7 days after the last oral dose. If oral LEN is unavailable or inappropriate, use another approved PrEP regimen.</w:t>
            </w:r>
          </w:p>
        </w:tc>
      </w:tr>
      <w:tr>
        <w:trPr>
          <w:cantSplit/>
        </w:trPr>
        <w:tc>
          <w:tcPr>
            <w:tcW w:type="dxa" w:w="3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Unplanned delay; &gt;28 weeks since last injection and no oral bridge</w:t>
            </w:r>
          </w:p>
        </w:tc>
        <w:tc>
          <w:tcPr>
            <w:tcW w:type="dxa" w:w="62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 not simply give a maintenance dose. Reassess eligibility and HIV status (Ag/Ab plus RNA if available), then repeat the full Day 1 initiation schedule if clinically appropriate.</w:t>
            </w:r>
          </w:p>
        </w:tc>
      </w:tr>
      <w:tr>
        <w:trPr>
          <w:cantSplit/>
        </w:trPr>
        <w:tc>
          <w:tcPr>
            <w:tcW w:type="dxa" w:w="3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Client cannot resume injections</w:t>
            </w:r>
          </w:p>
        </w:tc>
        <w:tc>
          <w:tcPr>
            <w:tcW w:type="dxa" w:w="6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Assess ongoing exposure and start another effective PrEP method no later than the end of the scheduled protection period. Arrange HIV testing during the pharmacologic tail per national protocol.</w:t>
            </w:r>
          </w:p>
        </w:tc>
      </w:tr>
      <w:tr>
        <w:trPr>
          <w:cantSplit/>
        </w:trPr>
        <w:tc>
          <w:tcPr>
            <w:tcW w:type="dxa" w:w="3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Possible exposure during a gap</w:t>
            </w:r>
          </w:p>
        </w:tc>
        <w:tc>
          <w:tcPr>
            <w:tcW w:type="dxa" w:w="62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If within 72 hours, assess and start three-drug PEP immediately. Do not use LEN loading alone as PEP.</w:t>
            </w:r>
          </w:p>
        </w:tc>
      </w:tr>
    </w:tbl>
    <w:p>
      <w:pPr>
        <w:keepNext w:val="0"/>
        <w:keepLines w:val="0"/>
        <w:spacing w:before="0" w:after="40" w:line="276" w:lineRule="auto"/>
      </w:pPr>
    </w:p>
    <w:p>
      <w:pPr>
        <w:pStyle w:val="Heading2"/>
      </w:pPr>
      <w:r>
        <w:t>7.3 Long pharmacologic tail</w:t>
      </w:r>
    </w:p>
    <w:p>
      <w:pPr>
        <w:pStyle w:val="ListBullet"/>
        <w:keepNext w:val="0"/>
        <w:keepLines w:val="0"/>
        <w:spacing w:before="0" w:after="60" w:line="276" w:lineRule="auto"/>
      </w:pPr>
      <w:r>
        <w:rPr>
          <w:rFonts w:ascii="Calibri" w:hAnsi="Calibri" w:eastAsia="Calibri"/>
          <w:b w:val="0"/>
          <w:i w:val="0"/>
        </w:rPr>
        <w:t>Do not assume HIV protection beyond the scheduled 26-week interval; drug may remain measurable for 12 months or longer.</w:t>
      </w:r>
    </w:p>
    <w:p>
      <w:pPr>
        <w:pStyle w:val="ListBullet"/>
        <w:keepNext w:val="0"/>
        <w:keepLines w:val="0"/>
        <w:spacing w:before="0" w:after="60" w:line="276" w:lineRule="auto"/>
      </w:pPr>
      <w:r>
        <w:rPr>
          <w:rFonts w:ascii="Calibri" w:hAnsi="Calibri" w:eastAsia="Calibri"/>
          <w:b w:val="0"/>
          <w:i w:val="0"/>
        </w:rPr>
        <w:t>If exposure continues, transition to oral PrEP, CAB-LA, or another approved method by the time the next injection is due.</w:t>
      </w:r>
    </w:p>
    <w:p>
      <w:pPr>
        <w:pStyle w:val="ListBullet"/>
        <w:keepNext w:val="0"/>
        <w:keepLines w:val="0"/>
        <w:spacing w:before="0" w:after="60" w:line="276" w:lineRule="auto"/>
      </w:pPr>
      <w:r>
        <w:rPr>
          <w:rFonts w:ascii="Calibri" w:hAnsi="Calibri" w:eastAsia="Calibri"/>
          <w:b w:val="0"/>
          <w:i w:val="0"/>
        </w:rPr>
        <w:t>Continue HIV testing during the tail according to national long-acting PrEP guidance and test immediately for any acute HIV syndrome.</w:t>
      </w:r>
    </w:p>
    <w:p>
      <w:pPr>
        <w:pStyle w:val="ListBullet"/>
        <w:keepNext w:val="0"/>
        <w:keepLines w:val="0"/>
        <w:spacing w:before="0" w:after="60" w:line="276" w:lineRule="auto"/>
      </w:pPr>
      <w:r>
        <w:rPr>
          <w:rFonts w:ascii="Calibri" w:hAnsi="Calibri" w:eastAsia="Calibri"/>
          <w:b w:val="0"/>
          <w:i w:val="0"/>
        </w:rPr>
        <w:t>Remind the client and future prescribers that lenacapavir may affect sensitive CYP3A medicines for up to 9 months after the last injection.</w:t>
      </w:r>
    </w:p>
    <w:p>
      <w:pPr>
        <w:pStyle w:val="Heading2"/>
      </w:pPr>
      <w:r>
        <w:t>7.4 Injection-site reactions and escalation</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21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Finding</w:t>
            </w:r>
          </w:p>
        </w:tc>
        <w:tc>
          <w:tcPr>
            <w:tcW w:type="dxa" w:w="33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Usual course</w:t>
            </w:r>
          </w:p>
        </w:tc>
        <w:tc>
          <w:tcPr>
            <w:tcW w:type="dxa" w:w="39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Action</w:t>
            </w:r>
          </w:p>
        </w:tc>
      </w:tr>
      <w:tr>
        <w:trPr>
          <w:cantSplit/>
        </w:trPr>
        <w:tc>
          <w:tcPr>
            <w:tcW w:type="dxa" w:w="2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Nodule/induration</w:t>
            </w:r>
          </w:p>
        </w:tc>
        <w:tc>
          <w:tcPr>
            <w:tcW w:type="dxa" w:w="33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Common; may be several centimetres and last many months, sometimes beyond one year.</w:t>
            </w:r>
          </w:p>
        </w:tc>
        <w:tc>
          <w:tcPr>
            <w:tcW w:type="dxa" w:w="39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Counsel before injection; document size/symptoms. Review if enlarging, very painful or inflamed.</w:t>
            </w:r>
          </w:p>
        </w:tc>
      </w:tr>
      <w:tr>
        <w:trPr>
          <w:cantSplit/>
        </w:trPr>
        <w:tc>
          <w:tcPr>
            <w:tcW w:type="dxa" w:w="2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Pain, swelling, erythema, pruritus</w:t>
            </w:r>
          </w:p>
        </w:tc>
        <w:tc>
          <w:tcPr>
            <w:tcW w:type="dxa" w:w="33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Usually mild or moderate and decreases with later doses.</w:t>
            </w:r>
          </w:p>
        </w:tc>
        <w:tc>
          <w:tcPr>
            <w:tcW w:type="dxa" w:w="39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Cold pack and simple analgesia if safe; monitor.</w:t>
            </w:r>
          </w:p>
        </w:tc>
      </w:tr>
      <w:tr>
        <w:trPr>
          <w:cantSplit/>
        </w:trPr>
        <w:tc>
          <w:tcPr>
            <w:tcW w:type="dxa" w:w="2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Ulceration, necrosis, drainage, severe pain, fever, spreading erythema</w:t>
            </w:r>
          </w:p>
        </w:tc>
        <w:tc>
          <w:tcPr>
            <w:tcW w:type="dxa" w:w="33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Not expected; may signal intradermal administration or infection.</w:t>
            </w:r>
          </w:p>
        </w:tc>
        <w:tc>
          <w:tcPr>
            <w:tcW w:type="dxa" w:w="39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Urgent senior review, wound/infection assessment, pharmacovigilance report; do not inject through affected skin.</w:t>
            </w:r>
          </w:p>
        </w:tc>
      </w:tr>
      <w:tr>
        <w:trPr>
          <w:cantSplit/>
        </w:trPr>
        <w:tc>
          <w:tcPr>
            <w:tcW w:type="dxa" w:w="2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Systemic hypersensitivity</w:t>
            </w:r>
          </w:p>
        </w:tc>
        <w:tc>
          <w:tcPr>
            <w:tcW w:type="dxa" w:w="33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Rare but potentially serious.</w:t>
            </w:r>
          </w:p>
        </w:tc>
        <w:tc>
          <w:tcPr>
            <w:tcW w:type="dxa" w:w="39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Emergency management and specialist review; do not re-challenge without authority.</w:t>
            </w:r>
          </w:p>
        </w:tc>
      </w:tr>
      <w:tr>
        <w:trPr>
          <w:cantSplit/>
        </w:trPr>
        <w:tc>
          <w:tcPr>
            <w:tcW w:type="dxa" w:w="2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Positive/ambiguous HIV test</w:t>
            </w:r>
          </w:p>
        </w:tc>
        <w:tc>
          <w:tcPr>
            <w:tcW w:type="dxa" w:w="33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Resistance risk if LEN monotherapy exposure continues.</w:t>
            </w:r>
          </w:p>
        </w:tc>
        <w:tc>
          <w:tcPr>
            <w:tcW w:type="dxa" w:w="39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Withhold further LEN, obtain confirmatory Ag/Ab and RNA urgently, link to HIV specialist and start a complete treatment regimen when diagnosed.</w:t>
            </w:r>
          </w:p>
        </w:tc>
      </w:tr>
    </w:tbl>
    <w:p>
      <w:pPr>
        <w:keepNext w:val="0"/>
        <w:keepLines w:val="0"/>
        <w:spacing w:before="0" w:after="40" w:line="276" w:lineRule="auto"/>
      </w:pPr>
    </w:p>
    <w:p>
      <w:pPr>
        <w:pStyle w:val="Heading1"/>
      </w:pPr>
      <w:r>
        <w:t>8. Alternative HIV PrEP options</w:t>
      </w:r>
    </w:p>
    <w:p>
      <w:pPr>
        <w:keepNext w:val="0"/>
        <w:keepLines w:val="0"/>
        <w:spacing w:before="0" w:after="100" w:line="276" w:lineRule="auto"/>
      </w:pPr>
      <w:r>
        <w:rPr>
          <w:rFonts w:ascii="Calibri" w:hAnsi="Calibri" w:eastAsia="Calibri"/>
          <w:b w:val="0"/>
          <w:i w:val="0"/>
        </w:rPr>
        <w:t>Choice should reflect the route of exposure, renal/HBV status, pregnancy, interaction profile, privacy, dosing preference, availability, and ability to attend follow-up. Only use products approved and supplied under current Nigerian policy.</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6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Option</w:t>
            </w:r>
          </w:p>
        </w:tc>
        <w:tc>
          <w:tcPr>
            <w:tcW w:type="dxa" w:w="26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Typical regimen</w:t>
            </w:r>
          </w:p>
        </w:tc>
        <w:tc>
          <w:tcPr>
            <w:tcW w:type="dxa" w:w="29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Best fit / key advantage</w:t>
            </w:r>
          </w:p>
        </w:tc>
        <w:tc>
          <w:tcPr>
            <w:tcW w:type="dxa" w:w="22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Do not overlook</w:t>
            </w:r>
          </w:p>
        </w:tc>
      </w:tr>
      <w:tr>
        <w:trPr>
          <w:cantSplit/>
        </w:trPr>
        <w:tc>
          <w:tcPr>
            <w:tcW w:type="dxa" w:w="1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Daily TDF/FTC or TDF/3TC</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TDF 300 mg + FTC 200 mg once daily, or TDF 300 mg + 3TC 300 mg once daily</w:t>
            </w:r>
          </w:p>
        </w:tc>
        <w:tc>
          <w:tcPr>
            <w:tcW w:type="dxa" w:w="29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Nigeria-preferred oral PrEP; broad sexual and injection-exposure evidence; also HBV-active.</w:t>
            </w:r>
          </w:p>
        </w:tc>
        <w:tc>
          <w:tcPr>
            <w:tcW w:type="dxa" w:w="22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Confirm HIV-negative; eCrCl generally ≥60; screen HBV; avoid abrupt stop in chronic HBV; adherence required.</w:t>
            </w:r>
          </w:p>
        </w:tc>
      </w:tr>
      <w:tr>
        <w:trPr>
          <w:cantSplit/>
        </w:trPr>
        <w:tc>
          <w:tcPr>
            <w:tcW w:type="dxa" w:w="1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Daily TDF alone</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TDF 300 mg once daily</w:t>
            </w:r>
          </w:p>
        </w:tc>
        <w:tc>
          <w:tcPr>
            <w:tcW w:type="dxa" w:w="29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Listed as an alternative in Nigeria’s public national guideline where appropriate.</w:t>
            </w:r>
          </w:p>
        </w:tc>
        <w:tc>
          <w:tcPr>
            <w:tcW w:type="dxa" w:w="22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Renal/bone safety and HBV monitoring; verify current national eligibility and supply.</w:t>
            </w:r>
          </w:p>
        </w:tc>
      </w:tr>
      <w:tr>
        <w:trPr>
          <w:cantSplit/>
        </w:trPr>
        <w:tc>
          <w:tcPr>
            <w:tcW w:type="dxa" w:w="1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Event-driven 2+1+1 TDF-based PrEP</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Two tablets 2–24 h before sex, then one at 24 h and one at 48 h after the first dose</w:t>
            </w:r>
          </w:p>
        </w:tc>
        <w:tc>
          <w:tcPr>
            <w:tcW w:type="dxa" w:w="29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Adult MSM with infrequent, predictable sex who prefer non-daily dosing.</w:t>
            </w:r>
          </w:p>
        </w:tc>
        <w:tc>
          <w:tcPr>
            <w:tcW w:type="dxa" w:w="22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Not for vaginal exposure, adolescents with adherence difficulty, injection risk, or active HBV; use only where national protocol supports it.</w:t>
            </w:r>
          </w:p>
        </w:tc>
      </w:tr>
      <w:tr>
        <w:trPr>
          <w:cantSplit/>
        </w:trPr>
        <w:tc>
          <w:tcPr>
            <w:tcW w:type="dxa" w:w="1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CAB-LA IM</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600 mg (3 mL) gluteal IM at Month 0 and Month 1, then every 2 months; oral lead-in optional</w:t>
            </w:r>
          </w:p>
        </w:tc>
        <w:tc>
          <w:tcPr>
            <w:tcW w:type="dxa" w:w="29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All people with sexual acquisition risk who prefer an injection every 2 months; no tenofovir renal threshold.</w:t>
            </w:r>
          </w:p>
        </w:tc>
        <w:tc>
          <w:tcPr>
            <w:tcW w:type="dxa" w:w="22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HIV testing at each visit, UGT-inducer interactions, injection-site reactions, strict attendance and a long tail.</w:t>
            </w:r>
          </w:p>
        </w:tc>
      </w:tr>
      <w:tr>
        <w:trPr>
          <w:cantSplit/>
        </w:trPr>
        <w:tc>
          <w:tcPr>
            <w:tcW w:type="dxa" w:w="1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Dapivirine vaginal ring</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25 mg ring worn continuously and replaced every 28 days</w:t>
            </w:r>
          </w:p>
        </w:tc>
        <w:tc>
          <w:tcPr>
            <w:tcW w:type="dxa" w:w="29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Woman-controlled option for vaginal HIV exposure when locally approved/available and oral PrEP is not desired or feasible.</w:t>
            </w:r>
          </w:p>
        </w:tc>
        <w:tc>
          <w:tcPr>
            <w:tcW w:type="dxa" w:w="22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Does not protect anal exposure; moderate efficacy depends on consistent use; age/pregnancy approval varies.</w:t>
            </w:r>
          </w:p>
        </w:tc>
      </w:tr>
      <w:tr>
        <w:trPr>
          <w:cantSplit/>
        </w:trPr>
        <w:tc>
          <w:tcPr>
            <w:tcW w:type="dxa" w:w="1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Daily TAF/FTC</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TAF 25 mg + FTC 200 mg once daily</w:t>
            </w:r>
          </w:p>
        </w:tc>
        <w:tc>
          <w:tcPr>
            <w:tcW w:type="dxa" w:w="29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International option for sexual exposure with eCrCl ≥30; less renal/bone effect than TDF.</w:t>
            </w:r>
          </w:p>
        </w:tc>
        <w:tc>
          <w:tcPr>
            <w:tcW w:type="dxa" w:w="22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Not established/approved for receptive vaginal exposure in the cited US guidance; check Nigerian approval, lipids, weight and HBV.</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Do not switch off tenofovir blindly</w:t>
            </w:r>
          </w:p>
          <w:p>
            <w:pPr>
              <w:keepNext w:val="0"/>
              <w:keepLines w:val="0"/>
              <w:spacing w:before="0" w:after="0" w:line="264" w:lineRule="auto"/>
            </w:pPr>
            <w:r>
              <w:rPr>
                <w:rFonts w:ascii="Calibri" w:hAnsi="Calibri" w:eastAsia="Calibri"/>
                <w:b w:val="0"/>
                <w:i w:val="0"/>
                <w:sz w:val="20"/>
              </w:rPr>
              <w:t>TDF/FTC and TDF/3TC suppress HBV. Before switching to LEN, CAB-LA or a ring, determine HBV status. A client with chronic HBV may need continued tenofovir or another HBV treatment to prevent hepatitis flare.</w:t>
            </w:r>
          </w:p>
        </w:tc>
      </w:tr>
    </w:tbl>
    <w:p>
      <w:pPr>
        <w:keepNext w:val="0"/>
        <w:keepLines w:val="0"/>
        <w:spacing w:before="0" w:after="40" w:line="276" w:lineRule="auto"/>
      </w:pPr>
    </w:p>
    <w:p>
      <w:pPr>
        <w:pStyle w:val="Heading1"/>
      </w:pPr>
      <w:r>
        <w:t>9. HIV post-exposure prophylaxis emergency protocol</w:t>
      </w: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PEP clock</w:t>
            </w:r>
          </w:p>
          <w:p>
            <w:pPr>
              <w:keepNext w:val="0"/>
              <w:keepLines w:val="0"/>
              <w:spacing w:before="0" w:after="0" w:line="264" w:lineRule="auto"/>
            </w:pPr>
            <w:r>
              <w:rPr>
                <w:rFonts w:ascii="Calibri" w:hAnsi="Calibri" w:eastAsia="Calibri"/>
                <w:b w:val="0"/>
                <w:i w:val="0"/>
                <w:sz w:val="20"/>
              </w:rPr>
              <w:t>Start as soon as possible, ideally within 24 hours and no later than 72 hours. Give the first dose during the encounter whenever feasible. Do not wait for source testing, creatinine, liver tests, pregnancy results, or HIV RNA if the exposed person’s screening test does not show established HIV. [6,7]</w:t>
            </w:r>
          </w:p>
        </w:tc>
      </w:tr>
    </w:tbl>
    <w:p>
      <w:pPr>
        <w:keepNext w:val="0"/>
        <w:keepLines w:val="0"/>
        <w:spacing w:before="0" w:after="40" w:line="276" w:lineRule="auto"/>
      </w:pPr>
    </w:p>
    <w:p>
      <w:pPr>
        <w:pStyle w:val="Heading2"/>
      </w:pPr>
      <w:r>
        <w:t>9.1 Determine whether the exposure is substantial</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2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Assess</w:t>
            </w:r>
          </w:p>
        </w:tc>
        <w:tc>
          <w:tcPr>
            <w:tcW w:type="dxa" w:w="4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Substantial-risk examples</w:t>
            </w:r>
          </w:p>
        </w:tc>
        <w:tc>
          <w:tcPr>
            <w:tcW w:type="dxa" w:w="38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Usually not substantial</w:t>
            </w:r>
          </w:p>
        </w:tc>
      </w:tr>
      <w:tr>
        <w:trPr>
          <w:cantSplit/>
        </w:trPr>
        <w:tc>
          <w:tcPr>
            <w:tcW w:type="dxa" w:w="12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Fluid</w:t>
            </w:r>
          </w:p>
        </w:tc>
        <w:tc>
          <w:tcPr>
            <w:tcW w:type="dxa" w:w="4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Blood, semen, vaginal/rectal secretions, visibly bloody fluid, or selected sterile-body fluids.</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Urine, saliva, sweat, tears, nasal secretions, sputum or vomit without visible blood.</w:t>
            </w:r>
          </w:p>
        </w:tc>
      </w:tr>
      <w:tr>
        <w:trPr>
          <w:cantSplit/>
        </w:trPr>
        <w:tc>
          <w:tcPr>
            <w:tcW w:type="dxa" w:w="12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Portal</w:t>
            </w:r>
          </w:p>
        </w:tc>
        <w:tc>
          <w:tcPr>
            <w:tcW w:type="dxa" w:w="4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Vagina, rectum, penis/urethra, mouth/mucosa, non-intact skin, percutaneous needle/sharp injury.</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Contact with intact skin only.</w:t>
            </w:r>
          </w:p>
        </w:tc>
      </w:tr>
      <w:tr>
        <w:trPr>
          <w:cantSplit/>
        </w:trPr>
        <w:tc>
          <w:tcPr>
            <w:tcW w:type="dxa" w:w="12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Source</w:t>
            </w:r>
          </w:p>
        </w:tc>
        <w:tc>
          <w:tcPr>
            <w:tcW w:type="dxa" w:w="4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Known HIV without sustained suppression, viral load unknown, or source status unknown with plausible epidemiologic risk.</w:t>
            </w:r>
          </w:p>
        </w:tc>
        <w:tc>
          <w:tcPr>
            <w:tcW w:type="dxa" w:w="3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Source confirmed HIV-negative for the relevant window; verified sustained viral suppression may eliminate sexual transmission risk.</w:t>
            </w:r>
          </w:p>
        </w:tc>
      </w:tr>
      <w:tr>
        <w:trPr>
          <w:cantSplit/>
        </w:trPr>
        <w:tc>
          <w:tcPr>
            <w:tcW w:type="dxa" w:w="12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Protection</w:t>
            </w:r>
          </w:p>
        </w:tc>
        <w:tc>
          <w:tcPr>
            <w:tcW w:type="dxa" w:w="4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No PrEP, missed oral doses, late long-acting injection, condom failure.</w:t>
            </w:r>
          </w:p>
        </w:tc>
        <w:tc>
          <w:tcPr>
            <w:tcW w:type="dxa" w:w="3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Correctly used condom with no breach; reliably adherent PrEP may make additional PEP unnecessary after expert assessment.</w:t>
            </w:r>
          </w:p>
        </w:tc>
      </w:tr>
    </w:tbl>
    <w:p>
      <w:pPr>
        <w:keepNext w:val="0"/>
        <w:keepLines w:val="0"/>
        <w:spacing w:before="0" w:after="40" w:line="276" w:lineRule="auto"/>
      </w:pPr>
    </w:p>
    <w:p>
      <w:pPr>
        <w:keepNext w:val="0"/>
        <w:keepLines w:val="0"/>
        <w:spacing w:before="0" w:after="100" w:line="276" w:lineRule="auto"/>
      </w:pPr>
      <w:r>
        <w:rPr>
          <w:rFonts w:ascii="Calibri" w:hAnsi="Calibri" w:eastAsia="Calibri"/>
          <w:b w:val="0"/>
          <w:i/>
        </w:rPr>
        <w:t>If uncertain and the exposure could be substantial, start PEP while clarifying the source. Stop later if the source is confirmed HIV-negative or expert assessment shows no indication.</w:t>
      </w:r>
    </w:p>
    <w:p>
      <w:pPr>
        <w:pStyle w:val="Heading2"/>
      </w:pPr>
      <w:r>
        <w:t>9.2 Immediate actions</w:t>
      </w:r>
    </w:p>
    <w:p>
      <w:pPr>
        <w:pStyle w:val="ListNumber"/>
        <w:keepNext w:val="0"/>
        <w:keepLines w:val="0"/>
        <w:spacing w:before="0" w:after="60" w:line="276" w:lineRule="auto"/>
      </w:pPr>
      <w:r>
        <w:rPr>
          <w:rFonts w:ascii="Calibri" w:hAnsi="Calibri" w:eastAsia="Calibri"/>
          <w:b w:val="0"/>
          <w:i w:val="0"/>
        </w:rPr>
        <w:t>Wash needlestick or cutaneous exposure with soap and water; irrigate eyes or mucosa with water or normal saline. Do not squeeze, suck, scrub, inject antiseptic, or apply caustic chemicals.</w:t>
      </w:r>
    </w:p>
    <w:p>
      <w:pPr>
        <w:pStyle w:val="ListNumber"/>
        <w:keepNext w:val="0"/>
        <w:keepLines w:val="0"/>
        <w:spacing w:before="0" w:after="60" w:line="276" w:lineRule="auto"/>
      </w:pPr>
      <w:r>
        <w:rPr>
          <w:rFonts w:ascii="Calibri" w:hAnsi="Calibri" w:eastAsia="Calibri"/>
          <w:b w:val="0"/>
          <w:i w:val="0"/>
        </w:rPr>
        <w:t>Document exact time, fluid, route, injury depth, barriers, source details, PrEP adherence, pregnancy/breastfeeding, medicines, allergies, renal/hepatic disease and safeguarding needs.</w:t>
      </w:r>
    </w:p>
    <w:p>
      <w:pPr>
        <w:pStyle w:val="ListNumber"/>
        <w:keepNext w:val="0"/>
        <w:keepLines w:val="0"/>
        <w:spacing w:before="0" w:after="60" w:line="276" w:lineRule="auto"/>
      </w:pPr>
      <w:r>
        <w:rPr>
          <w:rFonts w:ascii="Calibri" w:hAnsi="Calibri" w:eastAsia="Calibri"/>
          <w:b w:val="0"/>
          <w:i w:val="0"/>
        </w:rPr>
        <w:t>Perform a rapid or laboratory blood-based HIV Ag/Ab test; draw laboratory Ag/Ab and HIV NAT when indicated/available, especially after recent long-acting PrEP.</w:t>
      </w:r>
    </w:p>
    <w:p>
      <w:pPr>
        <w:pStyle w:val="ListNumber"/>
        <w:keepNext w:val="0"/>
        <w:keepLines w:val="0"/>
        <w:spacing w:before="0" w:after="60" w:line="276" w:lineRule="auto"/>
      </w:pPr>
      <w:r>
        <w:rPr>
          <w:rFonts w:ascii="Calibri" w:hAnsi="Calibri" w:eastAsia="Calibri"/>
          <w:b w:val="0"/>
          <w:i w:val="0"/>
        </w:rPr>
        <w:t>Give a full 28-day three-drug PEP supply or an immediately accessible starter plus guaranteed completion supply.</w:t>
      </w:r>
    </w:p>
    <w:p>
      <w:pPr>
        <w:pStyle w:val="ListNumber"/>
        <w:keepNext w:val="0"/>
        <w:keepLines w:val="0"/>
        <w:spacing w:before="0" w:after="60" w:line="276" w:lineRule="auto"/>
      </w:pPr>
      <w:r>
        <w:rPr>
          <w:rFonts w:ascii="Calibri" w:hAnsi="Calibri" w:eastAsia="Calibri"/>
          <w:b w:val="0"/>
          <w:i w:val="0"/>
        </w:rPr>
        <w:t>Collect baseline creatinine/eCrCl, ALT/AST, HBV serology, pregnancy test when applicable, HCV and site-specific STI tests—but do not delay the first dose.</w:t>
      </w:r>
    </w:p>
    <w:p>
      <w:pPr>
        <w:pStyle w:val="ListNumber"/>
        <w:keepNext w:val="0"/>
        <w:keepLines w:val="0"/>
        <w:spacing w:before="0" w:after="60" w:line="276" w:lineRule="auto"/>
      </w:pPr>
      <w:r>
        <w:rPr>
          <w:rFonts w:ascii="Calibri" w:hAnsi="Calibri" w:eastAsia="Calibri"/>
          <w:b w:val="0"/>
          <w:i w:val="0"/>
        </w:rPr>
        <w:t>Arrange a 24-hour adherence/tolerability contact, then HIV testing at 4–6 weeks and 12 weeks after exposure using Ag/Ab plus NAT where available. Plan direct PEP-to-PrEP transition if risk continues.</w:t>
      </w:r>
    </w:p>
    <w:p>
      <w:pPr>
        <w:pStyle w:val="Heading2"/>
      </w:pPr>
      <w:r>
        <w:t>9.3 Adult and adolescent PEP regimens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6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Priority</w:t>
            </w:r>
          </w:p>
        </w:tc>
        <w:tc>
          <w:tcPr>
            <w:tcW w:type="dxa" w:w="41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Regimen for 28 days</w:t>
            </w:r>
          </w:p>
        </w:tc>
        <w:tc>
          <w:tcPr>
            <w:tcW w:type="dxa" w:w="36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Comments</w:t>
            </w:r>
          </w:p>
        </w:tc>
      </w:tr>
      <w:tr>
        <w:trPr>
          <w:cantSplit/>
        </w:trPr>
        <w:tc>
          <w:tcPr>
            <w:tcW w:type="dxa" w:w="16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Nigeria/WHO practical preferred</w:t>
            </w:r>
          </w:p>
        </w:tc>
        <w:tc>
          <w:tcPr>
            <w:tcW w:type="dxa" w:w="4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TDF 300 mg + 3TC 300 mg (or FTC 200 mg) + DTG 50 mg orally once daily</w:t>
            </w:r>
          </w:p>
        </w:tc>
        <w:tc>
          <w:tcPr>
            <w:tcW w:type="dxa" w:w="36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Often available as TDF/3TC/DTG fixed-dose combination. Confirm weight/age, renal function, interactions and local protocol. DTG is the preferred third drug in WHO guidance.</w:t>
            </w:r>
          </w:p>
        </w:tc>
      </w:tr>
      <w:tr>
        <w:trPr>
          <w:cantSplit/>
        </w:trPr>
        <w:tc>
          <w:tcPr>
            <w:tcW w:type="dxa" w:w="16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Current CDC preferred single tablet</w:t>
            </w:r>
          </w:p>
        </w:tc>
        <w:tc>
          <w:tcPr>
            <w:tcW w:type="dxa" w:w="4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BIC 50 mg / FTC 200 mg / TAF 25 mg orally once daily</w:t>
            </w:r>
          </w:p>
        </w:tc>
        <w:tc>
          <w:tcPr>
            <w:tcW w:type="dxa" w:w="36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Use where approved/available and clinically appropriate. Review renal function, HBV and interactions.</w:t>
            </w:r>
          </w:p>
        </w:tc>
      </w:tr>
      <w:tr>
        <w:trPr>
          <w:cantSplit/>
        </w:trPr>
        <w:tc>
          <w:tcPr>
            <w:tcW w:type="dxa" w:w="16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Current CDC preferred multi-tablet</w:t>
            </w:r>
          </w:p>
        </w:tc>
        <w:tc>
          <w:tcPr>
            <w:tcW w:type="dxa" w:w="4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DTG 50 mg once daily PLUS TAF or TDF PLUS FTC or 3TC</w:t>
            </w:r>
          </w:p>
        </w:tc>
        <w:tc>
          <w:tcPr>
            <w:tcW w:type="dxa" w:w="36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Select the NRTI backbone for renal, HBV, pregnancy and formulary factors.</w:t>
            </w:r>
          </w:p>
        </w:tc>
      </w:tr>
      <w:tr>
        <w:trPr>
          <w:cantSplit/>
        </w:trPr>
        <w:tc>
          <w:tcPr>
            <w:tcW w:type="dxa" w:w="16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Alternative with specialist input</w:t>
            </w:r>
          </w:p>
        </w:tc>
        <w:tc>
          <w:tcPr>
            <w:tcW w:type="dxa" w:w="41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Boosted darunavir (DRV/c or DRV/r) PLUS TAF or TDF PLUS FTC or 3TC</w:t>
            </w:r>
          </w:p>
        </w:tc>
        <w:tc>
          <w:tcPr>
            <w:tcW w:type="dxa" w:w="36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Higher interaction and pill-burden potential; consider source resistance and pregnancy-specific dosing.</w:t>
            </w:r>
          </w:p>
        </w:tc>
      </w:tr>
      <w:tr>
        <w:trPr>
          <w:cantSplit/>
        </w:trPr>
        <w:tc>
          <w:tcPr>
            <w:tcW w:type="dxa" w:w="16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Nigeria-listed alternatives when DTG unsuitable</w:t>
            </w:r>
          </w:p>
        </w:tc>
        <w:tc>
          <w:tcPr>
            <w:tcW w:type="dxa" w:w="41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TDF/3TC/EFV; or two NRTIs with RAL, LPV/r or DRV/r</w:t>
            </w:r>
          </w:p>
        </w:tc>
        <w:tc>
          <w:tcPr>
            <w:tcW w:type="dxa" w:w="36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Use current national/expert guidance. EFV can be less tolerable. Never use nevirapine for PEP because of serious toxicity.</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Mandatory specialist review</w:t>
            </w:r>
          </w:p>
          <w:p>
            <w:pPr>
              <w:keepNext w:val="0"/>
              <w:keepLines w:val="0"/>
              <w:spacing w:before="0" w:after="0" w:line="264" w:lineRule="auto"/>
            </w:pPr>
            <w:r>
              <w:rPr>
                <w:rFonts w:ascii="Calibri" w:hAnsi="Calibri" w:eastAsia="Calibri"/>
                <w:b w:val="0"/>
                <w:i w:val="0"/>
                <w:sz w:val="20"/>
              </w:rPr>
              <w:t>Children; weight &lt;35 kg; eCrCl &lt;30 mL/min; dialysis; Child-Pugh C liver disease; pregnancy with complex co-medication; known source resistance or treatment failure; prior/recent CAB-LA or LEN; positive or ambiguous baseline HIV test; significant interaction; or PEP presentation after 72 hours.</w:t>
            </w:r>
          </w:p>
        </w:tc>
      </w:tr>
    </w:tbl>
    <w:p>
      <w:pPr>
        <w:keepNext w:val="0"/>
        <w:keepLines w:val="0"/>
        <w:spacing w:before="0" w:after="40" w:line="276" w:lineRule="auto"/>
      </w:pPr>
    </w:p>
    <w:p>
      <w:pPr>
        <w:pStyle w:val="Heading2"/>
      </w:pPr>
      <w:r>
        <w:t>9.4 PEP follow-up schedule</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tblHeader w:val="true"/>
          <w:cantSplit/>
        </w:trPr>
        <w:tc>
          <w:tcPr>
            <w:tcW w:type="dxa" w:w="20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When</w:t>
            </w:r>
          </w:p>
        </w:tc>
        <w:tc>
          <w:tcPr>
            <w:tcW w:type="dxa" w:w="73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7"/>
              </w:rPr>
              <w:t>Actions</w:t>
            </w:r>
          </w:p>
        </w:tc>
      </w:tr>
      <w:tr>
        <w:trPr>
          <w:cantSplit/>
        </w:trPr>
        <w:tc>
          <w:tcPr>
            <w:tcW w:type="dxa" w:w="2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Within 24 hours</w:t>
            </w:r>
          </w:p>
        </w:tc>
        <w:tc>
          <w:tcPr>
            <w:tcW w:type="dxa" w:w="73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Confirm medication access, first dose, tolerability, adherence plan, safeguarding and contact details.</w:t>
            </w:r>
          </w:p>
        </w:tc>
      </w:tr>
      <w:tr>
        <w:trPr>
          <w:cantSplit/>
        </w:trPr>
        <w:tc>
          <w:tcPr>
            <w:tcW w:type="dxa" w:w="2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During 28 days</w:t>
            </w:r>
          </w:p>
        </w:tc>
        <w:tc>
          <w:tcPr>
            <w:tcW w:type="dxa" w:w="73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Manage side effects/interactions; repeat renal or liver tests only if baseline abnormal, symptoms, or clinical indication under current guidance.</w:t>
            </w:r>
          </w:p>
        </w:tc>
      </w:tr>
      <w:tr>
        <w:trPr>
          <w:cantSplit/>
        </w:trPr>
        <w:tc>
          <w:tcPr>
            <w:tcW w:type="dxa" w:w="2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4–6 weeks after exposure</w:t>
            </w:r>
          </w:p>
        </w:tc>
        <w:tc>
          <w:tcPr>
            <w:tcW w:type="dxa" w:w="73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Laboratory HIV Ag/Ab plus HIV NAT if available; STI or pregnancy follow-up as indicated. The interim HIV test may be omitted only under narrow current-guideline criteria.</w:t>
            </w:r>
          </w:p>
        </w:tc>
      </w:tr>
      <w:tr>
        <w:trPr>
          <w:cantSplit/>
        </w:trPr>
        <w:tc>
          <w:tcPr>
            <w:tcW w:type="dxa" w:w="2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7"/>
              </w:rPr>
              <w:t>12 weeks after exposure</w:t>
            </w:r>
          </w:p>
        </w:tc>
        <w:tc>
          <w:tcPr>
            <w:tcW w:type="dxa" w:w="73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7"/>
              </w:rPr>
              <w:t>Final HIV Ag/Ab plus NAT where available; review HCV/HBV/STI follow-up and prevention plan.</w:t>
            </w:r>
          </w:p>
        </w:tc>
      </w:tr>
      <w:tr>
        <w:trPr>
          <w:cantSplit/>
        </w:trPr>
        <w:tc>
          <w:tcPr>
            <w:tcW w:type="dxa" w:w="2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7"/>
              </w:rPr>
              <w:t>Day 28 / no gap</w:t>
            </w:r>
          </w:p>
        </w:tc>
        <w:tc>
          <w:tcPr>
            <w:tcW w:type="dxa" w:w="73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7"/>
              </w:rPr>
              <w:t>If ongoing risk and HIV evaluation remains negative, transition directly to a selected PrEP regimen; counsel that antiretrovirals can delay HIV detection and follow testing schedule.</w:t>
            </w:r>
          </w:p>
        </w:tc>
      </w:tr>
    </w:tbl>
    <w:p>
      <w:pPr>
        <w:keepNext w:val="0"/>
        <w:keepLines w:val="0"/>
        <w:spacing w:before="0" w:after="40" w:line="276" w:lineRule="auto"/>
      </w:pPr>
    </w:p>
    <w:p>
      <w:pPr>
        <w:pStyle w:val="Heading1"/>
      </w:pPr>
      <w:r>
        <w:t>10. STI and other sexually or blood-borne infection prophylaxis</w:t>
      </w: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Antimicrobial stewardship</w:t>
            </w:r>
          </w:p>
          <w:p>
            <w:pPr>
              <w:keepNext w:val="0"/>
              <w:keepLines w:val="0"/>
              <w:spacing w:before="0" w:after="0" w:line="264" w:lineRule="auto"/>
            </w:pPr>
            <w:r>
              <w:rPr>
                <w:rFonts w:ascii="Calibri" w:hAnsi="Calibri" w:eastAsia="Calibri"/>
                <w:b w:val="0"/>
                <w:i w:val="0"/>
                <w:sz w:val="20"/>
              </w:rPr>
              <w:t>Do not dispense an unspecific antibiotic ‘STI PEP pack’ after routine consensual sex. It can miss infection, obscure diagnosis, cause adverse effects, and accelerate gonococcal and community antimicrobial resistance. Use testing, site-specific treatment, partner management, vaccination, condoms, and only evidence-based DoxyPEP for selected clients under local policy.</w:t>
            </w:r>
          </w:p>
        </w:tc>
      </w:tr>
    </w:tbl>
    <w:p>
      <w:pPr>
        <w:keepNext w:val="0"/>
        <w:keepLines w:val="0"/>
        <w:spacing w:before="0" w:after="40" w:line="276" w:lineRule="auto"/>
      </w:pPr>
    </w:p>
    <w:p>
      <w:pPr>
        <w:pStyle w:val="Heading2"/>
      </w:pPr>
      <w:r>
        <w:t>10.1 Doxycycline PEP for selected bacterial STIs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tblHeader w:val="true"/>
          <w:cantSplit/>
        </w:trPr>
        <w:tc>
          <w:tcPr>
            <w:tcW w:type="dxa" w:w="215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Element</w:t>
            </w:r>
          </w:p>
        </w:tc>
        <w:tc>
          <w:tcPr>
            <w:tcW w:type="dxa" w:w="721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Clinical standard</w:t>
            </w:r>
          </w:p>
        </w:tc>
      </w:tr>
      <w:tr>
        <w:trPr>
          <w:cantSplit/>
        </w:trPr>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Evidence-based group</w:t>
            </w:r>
          </w:p>
        </w:tc>
        <w:tc>
          <w:tcPr>
            <w:tcW w:type="dxa" w:w="7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Gay, bisexual and other MSM and TGW with syphilis, chlamydia or gonorrhea diagnosed in the previous 12 months, after shared decision-making under CDC 2024 guidance.</w:t>
            </w:r>
          </w:p>
        </w:tc>
      </w:tr>
      <w:tr>
        <w:trPr>
          <w:cantSplit/>
        </w:trPr>
        <w:tc>
          <w:tcPr>
            <w:tcW w:type="dxa" w:w="2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Dose</w:t>
            </w:r>
          </w:p>
        </w:tc>
        <w:tc>
          <w:tcPr>
            <w:tcW w:type="dxa" w:w="72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Doxycycline 200 mg orally once, as soon as possible and within 72 hours after oral, vaginal or anal sex; maximum 200 mg in any 24 hours.</w:t>
            </w:r>
          </w:p>
        </w:tc>
      </w:tr>
      <w:tr>
        <w:trPr>
          <w:cantSplit/>
        </w:trPr>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Expected benefit</w:t>
            </w:r>
          </w:p>
        </w:tc>
        <w:tc>
          <w:tcPr>
            <w:tcW w:type="dxa" w:w="7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Trials reduced syphilis and chlamydia by &gt;70% and gonorrhea by about 50%, but effectiveness varies with adherence and tetracycline resistance.</w:t>
            </w:r>
          </w:p>
        </w:tc>
      </w:tr>
      <w:tr>
        <w:trPr>
          <w:cantSplit/>
        </w:trPr>
        <w:tc>
          <w:tcPr>
            <w:tcW w:type="dxa" w:w="2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Monitoring</w:t>
            </w:r>
          </w:p>
        </w:tc>
        <w:tc>
          <w:tcPr>
            <w:tcW w:type="dxa" w:w="72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Baseline and 3–6-month syphilis serology plus gonorrhea/chlamydia testing at all exposed sites; reassess need and adverse effects every 3–6 months.</w:t>
            </w:r>
          </w:p>
        </w:tc>
      </w:tr>
      <w:tr>
        <w:trPr>
          <w:cantSplit/>
        </w:trPr>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Counseling</w:t>
            </w:r>
          </w:p>
        </w:tc>
        <w:tc>
          <w:tcPr>
            <w:tcW w:type="dxa" w:w="7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Take with food and a full glass of water; remain upright 1 hour; photosensitivity and GI/esophageal effects; separate by ≥2 hours from dairy, antacids, calcium, iron, magnesium or sodium bicarbonate.</w:t>
            </w:r>
          </w:p>
        </w:tc>
      </w:tr>
      <w:tr>
        <w:trPr>
          <w:cantSplit/>
        </w:trPr>
        <w:tc>
          <w:tcPr>
            <w:tcW w:type="dxa" w:w="215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Not routinely recommended</w:t>
            </w:r>
          </w:p>
        </w:tc>
        <w:tc>
          <w:tcPr>
            <w:tcW w:type="dxa" w:w="721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Evidence is insufficient for cisgender women, cisgender heterosexual men, transgender men and other populations. Do not use routinely in pregnancy or when doxycycline is contraindicated; obtain specialist advice.</w:t>
            </w:r>
          </w:p>
        </w:tc>
      </w:tr>
      <w:tr>
        <w:trPr>
          <w:cantSplit/>
        </w:trPr>
        <w:tc>
          <w:tcPr>
            <w:tcW w:type="dxa" w:w="215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Nigeria implementation caution</w:t>
            </w:r>
          </w:p>
        </w:tc>
        <w:tc>
          <w:tcPr>
            <w:tcW w:type="dxa" w:w="721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DoxyPEP is not a universal Nigerian STI standard. Use only if current NASCP/facility antimicrobial-stewardship policy authorizes it, and consider local gonococcal resistance.</w:t>
            </w:r>
          </w:p>
        </w:tc>
      </w:tr>
    </w:tbl>
    <w:p>
      <w:pPr>
        <w:keepNext w:val="0"/>
        <w:keepLines w:val="0"/>
        <w:spacing w:before="0" w:after="40" w:line="276" w:lineRule="auto"/>
      </w:pPr>
    </w:p>
    <w:p>
      <w:pPr>
        <w:keepNext w:val="0"/>
        <w:keepLines w:val="0"/>
        <w:spacing w:before="0" w:after="100" w:line="276" w:lineRule="auto"/>
      </w:pPr>
      <w:r>
        <w:rPr>
          <w:rFonts w:ascii="Calibri" w:hAnsi="Calibri" w:eastAsia="Calibri"/>
          <w:b w:val="0"/>
          <w:i/>
        </w:rPr>
        <w:t>Daily doxycycline ‘PrEP’ for bacterial STIs is not recommended in this guide. A positive screen requires organism-specific treatment and partner management, not repeated prophylactic dosing.</w:t>
      </w:r>
    </w:p>
    <w:p>
      <w:pPr>
        <w:pStyle w:val="Heading2"/>
      </w:pPr>
      <w:r>
        <w:t>10.2 Viral and bacterial infection prevention matrix</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14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Infection</w:t>
            </w:r>
          </w:p>
        </w:tc>
        <w:tc>
          <w:tcPr>
            <w:tcW w:type="dxa" w:w="26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Before exposure</w:t>
            </w:r>
          </w:p>
        </w:tc>
        <w:tc>
          <w:tcPr>
            <w:tcW w:type="dxa" w:w="3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After exposure</w:t>
            </w:r>
          </w:p>
        </w:tc>
        <w:tc>
          <w:tcPr>
            <w:tcW w:type="dxa" w:w="20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5"/>
              </w:rPr>
              <w:t>Key limitation / referral</w:t>
            </w:r>
          </w:p>
        </w:tc>
      </w:tr>
      <w:tr>
        <w:trPr>
          <w:cantSplit/>
        </w:trPr>
        <w:tc>
          <w:tcPr>
            <w:tcW w:type="dxa" w:w="14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Hepatitis B</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Complete HBV vaccine series; document immunity when indicated, especially healthcare workers.</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HBsAg-positive source: vaccine series + HBIG for susceptible persons. Unknown source: start/complete vaccine. Give as soon as possible, preferably &lt;24 h.</w:t>
            </w:r>
          </w:p>
        </w:tc>
        <w:tc>
          <w:tcPr>
            <w:tcW w:type="dxa" w:w="20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Effectiveness window is unlikely beyond 7 days after percutaneous or 14 days after sexual exposure. Follow source/vaccine-response table.</w:t>
            </w:r>
          </w:p>
        </w:tc>
      </w:tr>
      <w:tr>
        <w:trPr>
          <w:cantSplit/>
        </w:trPr>
        <w:tc>
          <w:tcPr>
            <w:tcW w:type="dxa" w:w="14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Hepatitis A</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Vaccination for susceptible people at risk; hygiene and food/water prevention.</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Single-antigen HAV vaccine within 14 days for unvaccinated people ≥12 months; add immune globulin 0.1 mL/kg for immunocompromise/chronic liver disease and selected age/health situations.</w:t>
            </w:r>
          </w:p>
        </w:tc>
        <w:tc>
          <w:tcPr>
            <w:tcW w:type="dxa" w:w="20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Use local vaccine/IG availability and policy; combined HAV/HBV vaccine is not the preferred HAV PEP product in cited CDC guidance.</w:t>
            </w:r>
          </w:p>
        </w:tc>
      </w:tr>
      <w:tr>
        <w:trPr>
          <w:cantSplit/>
        </w:trPr>
        <w:tc>
          <w:tcPr>
            <w:tcW w:type="dxa" w:w="14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HPV</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Vaccination—Nigeria’s routine priority is a single dose for girls aged 9–14; WHO schedules vary by age and immune status.</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No medication PEP. Offer catch-up vaccination under national policy; it prevents new type-specific infection but does not treat existing HPV.</w:t>
            </w:r>
          </w:p>
        </w:tc>
        <w:tc>
          <w:tcPr>
            <w:tcW w:type="dxa" w:w="20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Cervical screening remains necessary according to age/national policy.</w:t>
            </w:r>
          </w:p>
        </w:tc>
      </w:tr>
      <w:tr>
        <w:trPr>
          <w:cantSplit/>
        </w:trPr>
        <w:tc>
          <w:tcPr>
            <w:tcW w:type="dxa" w:w="14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Mpox</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Vaccine for people at high risk during outbreaks, where available, plus avoidance of contact with lesions/materials.</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Vaccine ideally within 4 days of contact; up to 14 days if no symptoms, through public-health pathway.</w:t>
            </w:r>
          </w:p>
        </w:tc>
        <w:tc>
          <w:tcPr>
            <w:tcW w:type="dxa" w:w="20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Assess and isolate/test symptoms; follow NCDC/public-health availability and outbreak guidance.</w:t>
            </w:r>
          </w:p>
        </w:tc>
      </w:tr>
      <w:tr>
        <w:trPr>
          <w:cantSplit/>
        </w:trPr>
        <w:tc>
          <w:tcPr>
            <w:tcW w:type="dxa" w:w="14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Hepatitis C</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No vaccine; sterile injection/medical equipment and blood safety.</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No recommended DAA PEP. Baseline anti-HCV with reflex RNA; if indicated, HCV RNA at 3–6 weeks and antibody at 4–6 months.</w:t>
            </w:r>
          </w:p>
        </w:tc>
        <w:tc>
          <w:tcPr>
            <w:tcW w:type="dxa" w:w="20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Link detectable RNA to curative treatment; occupational exposure follows incident protocol.</w:t>
            </w:r>
          </w:p>
        </w:tc>
      </w:tr>
      <w:tr>
        <w:trPr>
          <w:cantSplit/>
        </w:trPr>
        <w:tc>
          <w:tcPr>
            <w:tcW w:type="dxa" w:w="14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Genital HSV</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Condoms reduce but do not eliminate risk; avoid sex during lesions/prodrome. Suppressive treatment of a symptomatic infected partner reduces transmission.</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No antiviral PrEP or PEP is recommended for an uninfected partner.</w:t>
            </w:r>
          </w:p>
        </w:tc>
        <w:tc>
          <w:tcPr>
            <w:tcW w:type="dxa" w:w="20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Evaluate lesions promptly with NAAT where available; pregnancy/neonatal risk requires specialist care.</w:t>
            </w:r>
          </w:p>
        </w:tc>
      </w:tr>
      <w:tr>
        <w:trPr>
          <w:cantSplit/>
        </w:trPr>
        <w:tc>
          <w:tcPr>
            <w:tcW w:type="dxa" w:w="14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5"/>
              </w:rPr>
              <w:t>Syphilis, chlamydia, gonorrhea</w:t>
            </w:r>
          </w:p>
        </w:tc>
        <w:tc>
          <w:tcPr>
            <w:tcW w:type="dxa" w:w="2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Condoms, screening, prompt treatment, partner services; selected DoxyPEP as above.</w:t>
            </w:r>
          </w:p>
        </w:tc>
        <w:tc>
          <w:tcPr>
            <w:tcW w:type="dxa" w:w="3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No routine antibiotic PEP for the general population. Test exposed sites and treat diagnosed infection.</w:t>
            </w:r>
          </w:p>
        </w:tc>
        <w:tc>
          <w:tcPr>
            <w:tcW w:type="dxa" w:w="20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5"/>
              </w:rPr>
              <w:t>Follow current national treatment and resistance guidance; gonorrhea culture/susceptibility when treatment failure is suspected.</w:t>
            </w:r>
          </w:p>
        </w:tc>
      </w:tr>
      <w:tr>
        <w:trPr>
          <w:cantSplit/>
        </w:trPr>
        <w:tc>
          <w:tcPr>
            <w:tcW w:type="dxa" w:w="14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5"/>
              </w:rPr>
              <w:t>Trichomoniasis</w:t>
            </w:r>
          </w:p>
        </w:tc>
        <w:tc>
          <w:tcPr>
            <w:tcW w:type="dxa" w:w="2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Condoms and partner testing/treatment.</w:t>
            </w:r>
          </w:p>
        </w:tc>
        <w:tc>
          <w:tcPr>
            <w:tcW w:type="dxa" w:w="33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No routine PrEP/PEP. Test or syndromically manage symptoms and treat partners as indicated.</w:t>
            </w:r>
          </w:p>
        </w:tc>
        <w:tc>
          <w:tcPr>
            <w:tcW w:type="dxa" w:w="20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5"/>
              </w:rPr>
              <w:t>Avoid repeated empiric metronidazole without assessment.</w:t>
            </w:r>
          </w:p>
        </w:tc>
      </w:tr>
    </w:tbl>
    <w:p>
      <w:pPr>
        <w:keepNext w:val="0"/>
        <w:keepLines w:val="0"/>
        <w:spacing w:before="0" w:after="40" w:line="276" w:lineRule="auto"/>
      </w:pPr>
    </w:p>
    <w:p>
      <w:pPr>
        <w:pStyle w:val="Heading2"/>
      </w:pPr>
      <w:r>
        <w:t>10.3 Hepatitis B PEP quick table</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18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Source</w:t>
            </w:r>
          </w:p>
        </w:tc>
        <w:tc>
          <w:tcPr>
            <w:tcW w:type="dxa" w:w="30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Exposed person</w:t>
            </w:r>
          </w:p>
        </w:tc>
        <w:tc>
          <w:tcPr>
            <w:tcW w:type="dxa" w:w="45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Action</w:t>
            </w:r>
          </w:p>
        </w:tc>
      </w:tr>
      <w:tr>
        <w:trPr>
          <w:cantSplit/>
        </w:trPr>
        <w:tc>
          <w:tcPr>
            <w:tcW w:type="dxa" w:w="1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HBsAg positive</w:t>
            </w:r>
          </w:p>
        </w:tc>
        <w:tc>
          <w:tcPr>
            <w:tcW w:type="dxa" w:w="3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Unvaccinated or incompletely vaccinated</w:t>
            </w:r>
          </w:p>
        </w:tc>
        <w:tc>
          <w:tcPr>
            <w:tcW w:type="dxa" w:w="45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Give HBIG and start/complete HBV vaccine series as soon as possible.</w:t>
            </w:r>
          </w:p>
        </w:tc>
      </w:tr>
      <w:tr>
        <w:trPr>
          <w:cantSplit/>
        </w:trPr>
        <w:tc>
          <w:tcPr>
            <w:tcW w:type="dxa" w:w="18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HBsAg positive</w:t>
            </w:r>
          </w:p>
        </w:tc>
        <w:tc>
          <w:tcPr>
            <w:tcW w:type="dxa" w:w="3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Documented complete vaccine series with proven serologic response</w:t>
            </w:r>
          </w:p>
        </w:tc>
        <w:tc>
          <w:tcPr>
            <w:tcW w:type="dxa" w:w="45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No booster or HBIG usually needed.</w:t>
            </w:r>
          </w:p>
        </w:tc>
      </w:tr>
      <w:tr>
        <w:trPr>
          <w:cantSplit/>
        </w:trPr>
        <w:tc>
          <w:tcPr>
            <w:tcW w:type="dxa" w:w="1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HBsAg positive</w:t>
            </w:r>
          </w:p>
        </w:tc>
        <w:tc>
          <w:tcPr>
            <w:tcW w:type="dxa" w:w="3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Complete series but no post-vaccine testing</w:t>
            </w:r>
          </w:p>
        </w:tc>
        <w:tc>
          <w:tcPr>
            <w:tcW w:type="dxa" w:w="45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Follow occupational/nonoccupational algorithm; may need anti-HBs testing, booster and/or HBIG depending context.</w:t>
            </w:r>
          </w:p>
        </w:tc>
      </w:tr>
      <w:tr>
        <w:trPr>
          <w:cantSplit/>
        </w:trPr>
        <w:tc>
          <w:tcPr>
            <w:tcW w:type="dxa" w:w="18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Unknown HBsAg</w:t>
            </w:r>
          </w:p>
        </w:tc>
        <w:tc>
          <w:tcPr>
            <w:tcW w:type="dxa" w:w="30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Unvaccinated/incomplete</w:t>
            </w:r>
          </w:p>
        </w:tc>
        <w:tc>
          <w:tcPr>
            <w:tcW w:type="dxa" w:w="45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Start or complete vaccine series; HBIG is not routinely required for a nonoccupational unknown source.</w:t>
            </w:r>
          </w:p>
        </w:tc>
      </w:tr>
      <w:tr>
        <w:trPr>
          <w:cantSplit/>
        </w:trPr>
        <w:tc>
          <w:tcPr>
            <w:tcW w:type="dxa" w:w="1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Unknown HBsAg</w:t>
            </w:r>
          </w:p>
        </w:tc>
        <w:tc>
          <w:tcPr>
            <w:tcW w:type="dxa" w:w="30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Previously vaccinated</w:t>
            </w:r>
          </w:p>
        </w:tc>
        <w:tc>
          <w:tcPr>
            <w:tcW w:type="dxa" w:w="45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Complete series if incomplete; no action if documented responder.</w:t>
            </w:r>
          </w:p>
        </w:tc>
      </w:tr>
    </w:tbl>
    <w:p>
      <w:pPr>
        <w:keepNext w:val="0"/>
        <w:keepLines w:val="0"/>
        <w:spacing w:before="0" w:after="40" w:line="276" w:lineRule="auto"/>
      </w:pPr>
    </w:p>
    <w:p>
      <w:pPr>
        <w:keepNext w:val="0"/>
        <w:keepLines w:val="0"/>
        <w:spacing w:before="0" w:after="100" w:line="276" w:lineRule="auto"/>
      </w:pPr>
      <w:r>
        <w:rPr>
          <w:rFonts w:ascii="Calibri" w:hAnsi="Calibri" w:eastAsia="Calibri"/>
          <w:b w:val="0"/>
          <w:i/>
        </w:rPr>
        <w:t>For occupational exposure, use the healthcare-worker algorithm because management depends on documented anti-HBs response and source testing. Give HBIG at 0.06 mL/kg when indicated and available, at a different site from vaccine. [12]</w:t>
      </w:r>
    </w:p>
    <w:p>
      <w:pPr>
        <w:pStyle w:val="Heading2"/>
      </w:pPr>
      <w:r>
        <w:t>10.4 Sexual assault and post-violence care</w:t>
      </w:r>
    </w:p>
    <w:tbl>
      <w:tblPr>
        <w:tblW w:type="auto" w:w="0"/>
        <w:jc w:val="center"/>
        <w:tblLayout w:type="fixed"/>
        <w:tblLook w:firstColumn="1" w:firstRow="1" w:lastColumn="0" w:lastRow="0" w:noHBand="0" w:noVBand="1" w:val="04A0"/>
        <w:tblBorders>
          <w:top w:val="single" w:sz="8" w:space="0" w:color="0F766E"/>
          <w:left w:val="single" w:sz="8" w:space="0" w:color="0F766E"/>
          <w:bottom w:val="single" w:sz="8" w:space="0" w:color="0F766E"/>
          <w:right w:val="single" w:sz="8" w:space="0" w:color="0F766E"/>
        </w:tblBorders>
      </w:tblPr>
      <w:tblGrid>
        <w:gridCol w:w="9994"/>
      </w:tblGrid>
      <w:tr>
        <w:tc>
          <w:tcPr>
            <w:tcW w:type="dxa" w:w="9360"/>
            <w:shd w:fill="E6F4F1"/>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0F766E"/>
                <w:sz w:val="21"/>
              </w:rPr>
              <w:t>Trauma-informed pathway</w:t>
            </w:r>
          </w:p>
          <w:p>
            <w:pPr>
              <w:keepNext w:val="0"/>
              <w:keepLines w:val="0"/>
              <w:spacing w:before="0" w:after="0" w:line="264" w:lineRule="auto"/>
            </w:pPr>
            <w:r>
              <w:rPr>
                <w:rFonts w:ascii="Calibri" w:hAnsi="Calibri" w:eastAsia="Calibri"/>
                <w:b w:val="0"/>
                <w:i w:val="0"/>
                <w:sz w:val="20"/>
              </w:rPr>
              <w:t>Provide privacy, consent for each examination, injury care, forensic/referral options, emergency contraception, HIV PEP when indicated, HBV/HPV vaccination, STI testing or locally approved presumptive treatment, mental-health support, safeguarding, and early follow-up. Do not make police reporting a precondition for urgent medical care where law and policy allow.</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3331"/>
        <w:gridCol w:w="3331"/>
        <w:gridCol w:w="3331"/>
      </w:tblGrid>
      <w:tr>
        <w:trPr>
          <w:tblHeader w:val="true"/>
          <w:cantSplit/>
        </w:trPr>
        <w:tc>
          <w:tcPr>
            <w:tcW w:type="dxa" w:w="28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Example international presumptive regimen</w:t>
            </w:r>
          </w:p>
        </w:tc>
        <w:tc>
          <w:tcPr>
            <w:tcW w:type="dxa" w:w="36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Dose</w:t>
            </w:r>
          </w:p>
        </w:tc>
        <w:tc>
          <w:tcPr>
            <w:tcW w:type="dxa" w:w="29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Important caution</w:t>
            </w:r>
          </w:p>
        </w:tc>
      </w:tr>
      <w:tr>
        <w:trPr>
          <w:cantSplit/>
        </w:trPr>
        <w:tc>
          <w:tcPr>
            <w:tcW w:type="dxa" w:w="28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Female adolescent/adult survivor</w:t>
            </w:r>
          </w:p>
        </w:tc>
        <w:tc>
          <w:tcPr>
            <w:tcW w:type="dxa" w:w="36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Ceftriaxone 500 mg IM once + doxycycline 100 mg twice daily for 7 days + metronidazole 500 mg twice daily for 7 days</w:t>
            </w:r>
          </w:p>
        </w:tc>
        <w:tc>
          <w:tcPr>
            <w:tcW w:type="dxa" w:w="29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Use 1 g ceftriaxone if ≥150 kg in cited CDC guidance. Adapt for pregnancy, allergy and current Nigerian resistance/protocol.</w:t>
            </w:r>
          </w:p>
        </w:tc>
      </w:tr>
      <w:tr>
        <w:trPr>
          <w:cantSplit/>
        </w:trPr>
        <w:tc>
          <w:tcPr>
            <w:tcW w:type="dxa" w:w="28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Male adolescent/adult survivor</w:t>
            </w:r>
          </w:p>
        </w:tc>
        <w:tc>
          <w:tcPr>
            <w:tcW w:type="dxa" w:w="36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Ceftriaxone 500 mg IM once + doxycycline 100 mg twice daily for 7 days</w:t>
            </w:r>
          </w:p>
        </w:tc>
        <w:tc>
          <w:tcPr>
            <w:tcW w:type="dxa" w:w="29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This is post-assault presumptive treatment, not routine consensual-exposure PEP. Efficacy as prophylaxis has not been directly evaluated.</w:t>
            </w:r>
          </w:p>
        </w:tc>
      </w:tr>
    </w:tbl>
    <w:p>
      <w:pPr>
        <w:keepNext w:val="0"/>
        <w:keepLines w:val="0"/>
        <w:spacing w:before="0" w:after="40" w:line="276" w:lineRule="auto"/>
      </w:pPr>
    </w:p>
    <w:p>
      <w:pPr>
        <w:pStyle w:val="Heading1"/>
      </w:pPr>
      <w:r>
        <w:t>11. Special situations and escalation triggers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tblHeader w:val="true"/>
          <w:cantSplit/>
        </w:trPr>
        <w:tc>
          <w:tcPr>
            <w:tcW w:type="dxa" w:w="25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Situation</w:t>
            </w:r>
          </w:p>
        </w:tc>
        <w:tc>
          <w:tcPr>
            <w:tcW w:type="dxa" w:w="68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Approach</w:t>
            </w:r>
          </w:p>
        </w:tc>
      </w:tr>
      <w:tr>
        <w:trPr>
          <w:cantSplit/>
        </w:trPr>
        <w:tc>
          <w:tcPr>
            <w:tcW w:type="dxa" w:w="25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Pregnancy or breastfeeding</w:t>
            </w:r>
          </w:p>
        </w:tc>
        <w:tc>
          <w:tcPr>
            <w:tcW w:type="dxa" w:w="6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Not an automatic LEN exclusion. Discuss HIV risk without PrEP, available safety data, client preference, alternative TDF/FTC, and current national/perinatal guidance. Document shared decision and pharmacovigilance reporting.</w:t>
            </w:r>
          </w:p>
        </w:tc>
      </w:tr>
      <w:tr>
        <w:trPr>
          <w:cantSplit/>
        </w:trPr>
        <w:tc>
          <w:tcPr>
            <w:tcW w:type="dxa" w:w="25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Adolescent ≥35 kg</w:t>
            </w:r>
          </w:p>
        </w:tc>
        <w:tc>
          <w:tcPr>
            <w:tcW w:type="dxa" w:w="6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Can meet product criteria, but confirm consent/confidentiality law, safeguarding, ability to return, and developmentally appropriate counseling/reminders.</w:t>
            </w:r>
          </w:p>
        </w:tc>
      </w:tr>
      <w:tr>
        <w:trPr>
          <w:cantSplit/>
        </w:trPr>
        <w:tc>
          <w:tcPr>
            <w:tcW w:type="dxa" w:w="25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Chronic HBV</w:t>
            </w:r>
          </w:p>
        </w:tc>
        <w:tc>
          <w:tcPr>
            <w:tcW w:type="dxa" w:w="6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LEN does not treat HBV. Continue or start a complete HBV-active regimen if withdrawing tenofovir; obtain specialist input.</w:t>
            </w:r>
          </w:p>
        </w:tc>
      </w:tr>
      <w:tr>
        <w:trPr>
          <w:cantSplit/>
        </w:trPr>
        <w:tc>
          <w:tcPr>
            <w:tcW w:type="dxa" w:w="25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Renal disease</w:t>
            </w:r>
          </w:p>
        </w:tc>
        <w:tc>
          <w:tcPr>
            <w:tcW w:type="dxa" w:w="6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LEN has no adjustment at eCrCl ≥15, but ESRD is unstudied. Oral TDF thresholds differ. Select product with renal specialist input when severe.</w:t>
            </w:r>
          </w:p>
        </w:tc>
      </w:tr>
      <w:tr>
        <w:trPr>
          <w:cantSplit/>
        </w:trPr>
        <w:tc>
          <w:tcPr>
            <w:tcW w:type="dxa" w:w="25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Severe hepatic disease</w:t>
            </w:r>
          </w:p>
        </w:tc>
        <w:tc>
          <w:tcPr>
            <w:tcW w:type="dxa" w:w="6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Child-Pugh C is unstudied. Defer and obtain specialist review.</w:t>
            </w:r>
          </w:p>
        </w:tc>
      </w:tr>
      <w:tr>
        <w:trPr>
          <w:cantSplit/>
        </w:trPr>
        <w:tc>
          <w:tcPr>
            <w:tcW w:type="dxa" w:w="25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Active or suspected TB</w:t>
            </w:r>
          </w:p>
        </w:tc>
        <w:tc>
          <w:tcPr>
            <w:tcW w:type="dxa" w:w="6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Avoid routine LEN initiation until the rifamycin plan is known. Use an alternative PrEP option and coordinate HIV/TB/pharmacy review.</w:t>
            </w:r>
          </w:p>
        </w:tc>
      </w:tr>
      <w:tr>
        <w:trPr>
          <w:cantSplit/>
        </w:trPr>
        <w:tc>
          <w:tcPr>
            <w:tcW w:type="dxa" w:w="25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Recent CAB-LA or LEN exposure</w:t>
            </w:r>
          </w:p>
        </w:tc>
        <w:tc>
          <w:tcPr>
            <w:tcW w:type="dxa" w:w="6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Use blood Ag/Ab plus HIV NAT where available before PEP or PrEP changes; account for the prior drug tail and resistance risk.</w:t>
            </w:r>
          </w:p>
        </w:tc>
      </w:tr>
      <w:tr>
        <w:trPr>
          <w:cantSplit/>
        </w:trPr>
        <w:tc>
          <w:tcPr>
            <w:tcW w:type="dxa" w:w="250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i w:val="0"/>
                <w:color w:val="123B56"/>
                <w:sz w:val="16"/>
              </w:rPr>
              <w:t>HIV breakthrough on LEN</w:t>
            </w:r>
          </w:p>
        </w:tc>
        <w:tc>
          <w:tcPr>
            <w:tcW w:type="dxa" w:w="6860"/>
            <w:tcMar>
              <w:top w:w="75" w:type="dxa"/>
              <w:start w:w="90" w:type="dxa"/>
              <w:bottom w:w="75" w:type="dxa"/>
              <w:end w:w="90" w:type="dxa"/>
            </w:tcMar>
            <w:vAlign w:val="top"/>
            <w:shd w:fill="F2F4F6"/>
          </w:tcPr>
          <w:p>
            <w:pPr>
              <w:keepNext w:val="0"/>
              <w:keepLines w:val="0"/>
              <w:spacing w:before="0" w:after="0" w:line="252" w:lineRule="auto"/>
            </w:pPr>
            <w:r>
              <w:rPr>
                <w:rFonts w:ascii="Calibri" w:hAnsi="Calibri" w:eastAsia="Calibri"/>
                <w:b w:val="0"/>
                <w:i w:val="0"/>
                <w:sz w:val="16"/>
              </w:rPr>
              <w:t>Urgent HIV specialist review; complete ART—not LEN alone—and genotype as available. An integrase inhibitor-based regimen is commonly considered while resistance evaluation proceeds.</w:t>
            </w:r>
          </w:p>
        </w:tc>
      </w:tr>
      <w:tr>
        <w:trPr>
          <w:cantSplit/>
        </w:trPr>
        <w:tc>
          <w:tcPr>
            <w:tcW w:type="dxa" w:w="25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Inability to return/contact</w:t>
            </w:r>
          </w:p>
        </w:tc>
        <w:tc>
          <w:tcPr>
            <w:tcW w:type="dxa" w:w="68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Address transport, privacy, reminder and decentralization barriers. If reliable 26-week care is not feasible, choose oral PrEP or another accessible method.</w:t>
            </w:r>
          </w:p>
        </w:tc>
      </w:tr>
    </w:tbl>
    <w:p>
      <w:pPr>
        <w:keepNext w:val="0"/>
        <w:keepLines w:val="0"/>
        <w:spacing w:before="0" w:after="40" w:line="276" w:lineRule="auto"/>
      </w:pPr>
    </w:p>
    <w:p>
      <w:pPr>
        <w:pStyle w:val="Heading2"/>
      </w:pPr>
      <w:r>
        <w:t>Escalate urgently if any of the following is present</w:t>
      </w:r>
    </w:p>
    <w:p>
      <w:pPr>
        <w:pStyle w:val="ListBullet"/>
        <w:keepNext w:val="0"/>
        <w:keepLines w:val="0"/>
        <w:spacing w:before="0" w:after="60" w:line="276" w:lineRule="auto"/>
      </w:pPr>
      <w:r>
        <w:rPr>
          <w:rFonts w:ascii="Calibri" w:hAnsi="Calibri" w:eastAsia="Calibri"/>
          <w:b w:val="0"/>
          <w:i w:val="0"/>
        </w:rPr>
        <w:t>Positive, discordant, indeterminate or unexpectedly low-level HIV RNA result.</w:t>
      </w:r>
    </w:p>
    <w:p>
      <w:pPr>
        <w:pStyle w:val="ListBullet"/>
        <w:keepNext w:val="0"/>
        <w:keepLines w:val="0"/>
        <w:spacing w:before="0" w:after="60" w:line="276" w:lineRule="auto"/>
      </w:pPr>
      <w:r>
        <w:rPr>
          <w:rFonts w:ascii="Calibri" w:hAnsi="Calibri" w:eastAsia="Calibri"/>
          <w:b w:val="0"/>
          <w:i w:val="0"/>
        </w:rPr>
        <w:t>Acute HIV symptoms during LEN, after a missed injection, or during the tail.</w:t>
      </w:r>
    </w:p>
    <w:p>
      <w:pPr>
        <w:pStyle w:val="ListBullet"/>
        <w:keepNext w:val="0"/>
        <w:keepLines w:val="0"/>
        <w:spacing w:before="0" w:after="60" w:line="276" w:lineRule="auto"/>
      </w:pPr>
      <w:r>
        <w:rPr>
          <w:rFonts w:ascii="Calibri" w:hAnsi="Calibri" w:eastAsia="Calibri"/>
          <w:b w:val="0"/>
          <w:i w:val="0"/>
        </w:rPr>
        <w:t>Need to start rifampicin/rifapentine/rifabutin or another major inducer after LEN.</w:t>
      </w:r>
    </w:p>
    <w:p>
      <w:pPr>
        <w:pStyle w:val="ListBullet"/>
        <w:keepNext w:val="0"/>
        <w:keepLines w:val="0"/>
        <w:spacing w:before="0" w:after="60" w:line="276" w:lineRule="auto"/>
      </w:pPr>
      <w:r>
        <w:rPr>
          <w:rFonts w:ascii="Calibri" w:hAnsi="Calibri" w:eastAsia="Calibri"/>
          <w:b w:val="0"/>
          <w:i w:val="0"/>
        </w:rPr>
        <w:t>Severe injection-site pain, ulceration, necrosis, fever, drainage or spreading cellulitis.</w:t>
      </w:r>
    </w:p>
    <w:p>
      <w:pPr>
        <w:pStyle w:val="ListBullet"/>
        <w:keepNext w:val="0"/>
        <w:keepLines w:val="0"/>
        <w:spacing w:before="0" w:after="60" w:line="276" w:lineRule="auto"/>
      </w:pPr>
      <w:r>
        <w:rPr>
          <w:rFonts w:ascii="Calibri" w:hAnsi="Calibri" w:eastAsia="Calibri"/>
          <w:b w:val="0"/>
          <w:i w:val="0"/>
        </w:rPr>
        <w:t>Pregnancy with complex comorbidity, severe renal/hepatic disease, child &lt;35 kg, or source resistance.</w:t>
      </w:r>
    </w:p>
    <w:p>
      <w:pPr>
        <w:pStyle w:val="ListBullet"/>
        <w:keepNext w:val="0"/>
        <w:keepLines w:val="0"/>
        <w:spacing w:before="0" w:after="60" w:line="276" w:lineRule="auto"/>
      </w:pPr>
      <w:r>
        <w:rPr>
          <w:rFonts w:ascii="Calibri" w:hAnsi="Calibri" w:eastAsia="Calibri"/>
          <w:b w:val="0"/>
          <w:i w:val="0"/>
        </w:rPr>
        <w:t>Sexual assault, child safeguarding concern, suicidality, severe mental distress or ongoing violence.</w:t>
      </w:r>
    </w:p>
    <w:p>
      <w:pPr>
        <w:pStyle w:val="Heading1"/>
      </w:pPr>
      <w:r>
        <w:t>Appendix A. Lenacapavir clearance checklist</w:t>
      </w:r>
    </w:p>
    <w:p>
      <w:pPr>
        <w:keepNext w:val="0"/>
        <w:keepLines w:val="0"/>
        <w:spacing w:before="0" w:after="100" w:line="276" w:lineRule="auto"/>
      </w:pPr>
      <w:r>
        <w:rPr>
          <w:rFonts w:ascii="Calibri" w:hAnsi="Calibri" w:eastAsia="Calibri"/>
          <w:b w:val="0"/>
          <w:i/>
        </w:rPr>
        <w:t>Complete at initiation and repeat the relevant items before every maintenance injection. Attach source results and interaction printout to the clinical record.</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PEP gate: no substantial exposure within 72 hours requiring immediate three-drug PEP.</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Indication: sexually acquired HIV risk/benefit discussed; client freely chooses LEN after alternatives.</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Weight documented at ______ kg and is ≥35 kg.</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HIV: blood-based test/validated national algorithm negative on ____/____/____ at ______.</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Acute HIV screen negative; no concerning viral syndrome in the previous 4 weeks.</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HIV RNA drawn/result: ____________________. If unavailable, 4-week repeat Ag/Ab booked.</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Recent PEP/oral PrEP/CAB-LA/LEN dates reviewed; last long-acting injection: __________.</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HBV status assessed; vaccination or HBV treatment plan documented.</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Syphilis and site-specific gonorrhea/chlamydia screening offered/obtained; HCV risk assessed.</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Pregnancy/lactation and reproductive goals reviewed where applicable.</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TB symptom and rifamycin screen negative/resolved.</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Prescription, OTC, supplement and herbal list reviewed with current interaction resource.</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No unresolved strong/moderate inducer or combined inhibitor; pharmacist/specialist: __________.</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Renal/hepatic comorbidity reviewed; specialist clearance obtained if ESRD or Child-Pugh C.</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Client accepts two SC injections, Day 1 and Day 2 oral loading, possible long-lasting nodules, and tail.</w:t>
            </w:r>
          </w:p>
        </w:tc>
      </w:tr>
      <w:tr>
        <w:trPr>
          <w:cantSplit/>
        </w:trPr>
        <w:tc>
          <w:tcPr>
            <w:tcW w:type="dxa" w:w="500"/>
            <w:tcMar>
              <w:top w:w="35" w:type="dxa"/>
              <w:start w:w="80" w:type="dxa"/>
              <w:bottom w:w="35" w:type="dxa"/>
              <w:end w:w="80" w:type="dxa"/>
            </w:tcMar>
            <w:shd w:fill="F2F4F6"/>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shd w:fill="F2F4F6"/>
          </w:tcPr>
          <w:p>
            <w:pPr>
              <w:keepNext w:val="0"/>
              <w:keepLines w:val="0"/>
              <w:spacing w:before="0" w:after="0" w:line="240" w:lineRule="auto"/>
            </w:pPr>
            <w:r>
              <w:rPr>
                <w:rFonts w:ascii="Calibri" w:hAnsi="Calibri" w:eastAsia="Calibri"/>
                <w:b w:val="0"/>
                <w:i w:val="0"/>
                <w:sz w:val="17"/>
              </w:rPr>
              <w:t>Reliable confidential contact, reminder and 26-week ±2-week follow-up plan confirmed.</w:t>
            </w:r>
          </w:p>
        </w:tc>
      </w:tr>
      <w:tr>
        <w:trPr>
          <w:cantSplit/>
        </w:trPr>
        <w:tc>
          <w:tcPr>
            <w:tcW w:type="dxa" w:w="500"/>
            <w:tcMar>
              <w:top w:w="35" w:type="dxa"/>
              <w:start w:w="80" w:type="dxa"/>
              <w:bottom w:w="35" w:type="dxa"/>
              <w:end w:w="80" w:type="dxa"/>
            </w:tcMar>
          </w:tcPr>
          <w:p>
            <w:pPr>
              <w:keepNext w:val="0"/>
              <w:keepLines w:val="0"/>
              <w:spacing w:before="0" w:after="0" w:line="276" w:lineRule="auto"/>
              <w:jc w:val="center"/>
            </w:pPr>
            <w:r>
              <w:rPr>
                <w:rFonts w:ascii="Calibri" w:hAnsi="Calibri" w:eastAsia="Calibri"/>
                <w:b w:val="0"/>
                <w:i w:val="0"/>
                <w:color w:val="2E74B5"/>
                <w:sz w:val="19"/>
              </w:rPr>
              <w:t>☐</w:t>
            </w:r>
          </w:p>
        </w:tc>
        <w:tc>
          <w:tcPr>
            <w:tcW w:type="dxa" w:w="8860"/>
            <w:tcMar>
              <w:top w:w="35" w:type="dxa"/>
              <w:start w:w="80" w:type="dxa"/>
              <w:bottom w:w="35" w:type="dxa"/>
              <w:end w:w="80" w:type="dxa"/>
            </w:tcMar>
          </w:tcPr>
          <w:p>
            <w:pPr>
              <w:keepNext w:val="0"/>
              <w:keepLines w:val="0"/>
              <w:spacing w:before="0" w:after="0" w:line="240" w:lineRule="auto"/>
            </w:pPr>
            <w:r>
              <w:rPr>
                <w:rFonts w:ascii="Calibri" w:hAnsi="Calibri" w:eastAsia="Calibri"/>
                <w:b w:val="0"/>
                <w:i w:val="0"/>
                <w:sz w:val="17"/>
              </w:rPr>
              <w:t>Dosing, product limitations, HIV symptoms, STI prevention, missed-dose and discontinuation counseling given.</w:t>
            </w:r>
          </w:p>
        </w:tc>
      </w:tr>
    </w:tbl>
    <w:p>
      <w:pPr>
        <w:spacing w:after="40"/>
      </w:pP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cantSplit/>
        </w:trPr>
        <w:tc>
          <w:tcPr>
            <w:tcW w:type="dxa" w:w="17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7"/>
              </w:rPr>
              <w:t>Decision</w:t>
            </w:r>
          </w:p>
        </w:tc>
        <w:tc>
          <w:tcPr>
            <w:tcW w:type="dxa" w:w="76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7"/>
              </w:rPr>
              <w:t>☐ Clear today   ☐ Defer/investigate   ☐ Do not give LEN / alternative or referral</w:t>
            </w:r>
          </w:p>
        </w:tc>
      </w:tr>
      <w:tr>
        <w:trPr>
          <w:cantSplit/>
        </w:trPr>
        <w:tc>
          <w:tcPr>
            <w:tcW w:type="dxa" w:w="17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Reason</w:t>
            </w:r>
          </w:p>
        </w:tc>
        <w:tc>
          <w:tcPr>
            <w:tcW w:type="dxa" w:w="76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________________________________________________________________________</w:t>
            </w:r>
          </w:p>
        </w:tc>
      </w:tr>
      <w:tr>
        <w:trPr>
          <w:cantSplit/>
        </w:trPr>
        <w:tc>
          <w:tcPr>
            <w:tcW w:type="dxa" w:w="17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7"/>
              </w:rPr>
              <w:t>Prescriber</w:t>
            </w:r>
          </w:p>
        </w:tc>
        <w:tc>
          <w:tcPr>
            <w:tcW w:type="dxa" w:w="76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7"/>
              </w:rPr>
              <w:t>Name/signature: ______________________________  Date/time: __________________</w:t>
            </w:r>
          </w:p>
        </w:tc>
      </w:tr>
      <w:tr>
        <w:trPr>
          <w:cantSplit/>
        </w:trPr>
        <w:tc>
          <w:tcPr>
            <w:tcW w:type="dxa" w:w="17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Next visit</w:t>
            </w:r>
          </w:p>
        </w:tc>
        <w:tc>
          <w:tcPr>
            <w:tcW w:type="dxa" w:w="76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Due: __________________  Earliest: __________________  Latest: __________________</w:t>
            </w:r>
          </w:p>
        </w:tc>
      </w:tr>
    </w:tbl>
    <w:p>
      <w:pPr>
        <w:spacing w:after="40"/>
      </w:pPr>
    </w:p>
    <w:p>
      <w:pPr>
        <w:pStyle w:val="Heading1"/>
        <w:pageBreakBefore/>
      </w:pPr>
      <w:r>
        <w:t>Appendix B. HIV PEP quick order and follow-up aid</w:t>
      </w:r>
    </w:p>
    <w:tbl>
      <w:tblPr>
        <w:tblW w:type="auto" w:w="0"/>
        <w:jc w:val="center"/>
        <w:tblLayout w:type="fixed"/>
        <w:tblLook w:firstColumn="1" w:firstRow="1" w:lastColumn="0" w:lastRow="0" w:noHBand="0" w:noVBand="1" w:val="04A0"/>
        <w:tblBorders>
          <w:top w:val="single" w:sz="8" w:space="0" w:color="9B1C1C"/>
          <w:left w:val="single" w:sz="8" w:space="0" w:color="9B1C1C"/>
          <w:bottom w:val="single" w:sz="8" w:space="0" w:color="9B1C1C"/>
          <w:right w:val="single" w:sz="8" w:space="0" w:color="9B1C1C"/>
        </w:tblBorders>
      </w:tblPr>
      <w:tblGrid>
        <w:gridCol w:w="9994"/>
      </w:tblGrid>
      <w:tr>
        <w:tc>
          <w:tcPr>
            <w:tcW w:type="dxa" w:w="9360"/>
            <w:shd w:fill="FDE8E7"/>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9B1C1C"/>
                <w:sz w:val="21"/>
              </w:rPr>
              <w:t>Start first</w:t>
            </w:r>
          </w:p>
          <w:p>
            <w:pPr>
              <w:keepNext w:val="0"/>
              <w:keepLines w:val="0"/>
              <w:spacing w:before="0" w:after="0" w:line="264" w:lineRule="auto"/>
            </w:pPr>
            <w:r>
              <w:rPr>
                <w:rFonts w:ascii="Calibri" w:hAnsi="Calibri" w:eastAsia="Calibri"/>
                <w:b w:val="0"/>
                <w:i w:val="0"/>
                <w:sz w:val="20"/>
              </w:rPr>
              <w:t>If the exposure is substantial and ≤72 hours, give the first PEP dose now. Complete the rest of this form after dosing; laboratory or source information must not create delay.</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Exposure date/time: __________. Hours elapsed: ______. Fluid: __________. Portal/site: __________.</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Source HIV status/viral load/adherence/resistance, if immediately available: ________________________.</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Exposed person’s baseline blood HIV Ag/Ab: __________. HIV NAT if indicated/available: __________.</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Recent oral/long-acting PrEP and adherence: _________________________________________________ .</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Pregnancy test if applicable: ______. Creatinine/eCrCl: ______. ALT/AST: ______. Do not delay first dose.</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HBsAg, anti-HBs, anti-HBc: __________________. HCV Ab/RNA plan: ____________________________.</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Syphilis serology and exposure-site NAATs collected/offered; assault/safeguarding pathway activated if relevant.</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Preferred regimen supplied for 28 days: TDF/3TC(or FTC) + DTG, or documented approved alternative.</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Medicine interactions, allergies, renal/hepatic disease and source resistance reviewed.</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24-hour check booked; 4–6-week and 12-week Ag/Ab + NAT testing booked where available.</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HBV/HCV/STI/vaccine follow-up booked; adherence and side-effect plan documented.</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PEP-to-PrEP plan: ☐ no ongoing risk  ☐ oral PrEP  ☐ LEN  ☐ CAB-LA  ☐ other/referral __________.</w:t>
            </w:r>
          </w:p>
        </w:tc>
      </w:tr>
    </w:tbl>
    <w:p>
      <w:pPr>
        <w:spacing w:after="40"/>
      </w:pP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cantSplit/>
        </w:trPr>
        <w:tc>
          <w:tcPr>
            <w:tcW w:type="dxa" w:w="17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9"/>
              </w:rPr>
              <w:t>PEP regimen</w:t>
            </w:r>
          </w:p>
        </w:tc>
        <w:tc>
          <w:tcPr>
            <w:tcW w:type="dxa" w:w="76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9"/>
              </w:rPr>
              <w:t>________________________________________________________________________</w:t>
            </w:r>
          </w:p>
        </w:tc>
      </w:tr>
      <w:tr>
        <w:trPr>
          <w:cantSplit/>
        </w:trPr>
        <w:tc>
          <w:tcPr>
            <w:tcW w:type="dxa" w:w="17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9"/>
              </w:rPr>
              <w:t>First dose</w:t>
            </w:r>
          </w:p>
        </w:tc>
        <w:tc>
          <w:tcPr>
            <w:tcW w:type="dxa" w:w="76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9"/>
              </w:rPr>
              <w:t>Date/time: __________________________  Given by: ____________________________</w:t>
            </w:r>
          </w:p>
        </w:tc>
      </w:tr>
      <w:tr>
        <w:trPr>
          <w:cantSplit/>
        </w:trPr>
        <w:tc>
          <w:tcPr>
            <w:tcW w:type="dxa" w:w="17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9"/>
              </w:rPr>
              <w:t>Follow-up</w:t>
            </w:r>
          </w:p>
        </w:tc>
        <w:tc>
          <w:tcPr>
            <w:tcW w:type="dxa" w:w="76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9"/>
              </w:rPr>
              <w:t>24 h: __________  4–6 weeks: __________  12 weeks: __________</w:t>
            </w:r>
          </w:p>
        </w:tc>
      </w:tr>
      <w:tr>
        <w:trPr>
          <w:cantSplit/>
        </w:trPr>
        <w:tc>
          <w:tcPr>
            <w:tcW w:type="dxa" w:w="17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9"/>
              </w:rPr>
              <w:t>Senior review</w:t>
            </w:r>
          </w:p>
        </w:tc>
        <w:tc>
          <w:tcPr>
            <w:tcW w:type="dxa" w:w="76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9"/>
              </w:rPr>
              <w:t>Name/contact: ____________________________________________________________</w:t>
            </w:r>
          </w:p>
        </w:tc>
      </w:tr>
    </w:tbl>
    <w:p>
      <w:pPr>
        <w:spacing w:after="40"/>
      </w:pPr>
    </w:p>
    <w:p>
      <w:pPr>
        <w:pStyle w:val="Heading1"/>
        <w:pageBreakBefore/>
      </w:pPr>
      <w:r>
        <w:t>Appendix C. Lenacapavir interaction and TB screen</w:t>
      </w:r>
    </w:p>
    <w:tbl>
      <w:tblPr>
        <w:tblW w:type="auto" w:w="0"/>
        <w:jc w:val="center"/>
        <w:tblLayout w:type="fixed"/>
        <w:tblLook w:firstColumn="1" w:firstRow="1" w:lastColumn="0" w:lastRow="0" w:noHBand="0" w:noVBand="1" w:val="04A0"/>
        <w:tblBorders>
          <w:top w:val="single" w:sz="3" w:space="0" w:color="D7DEE4"/>
          <w:left w:val="single" w:sz="3" w:space="0" w:color="D7DEE4"/>
          <w:bottom w:val="single" w:sz="3" w:space="0" w:color="D7DEE4"/>
          <w:right w:val="single" w:sz="3" w:space="0" w:color="D7DEE4"/>
          <w:insideH w:val="single" w:sz="3" w:space="0" w:color="D7DEE4"/>
          <w:insideV w:val="single" w:sz="3" w:space="0" w:color="D7DEE4"/>
        </w:tblBorders>
      </w:tblPr>
      <w:tblGrid>
        <w:gridCol w:w="4997"/>
        <w:gridCol w:w="4997"/>
      </w:tblGrid>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Active TB symptoms: cough, fever, night sweats, weight loss, known contact. Result/action: __________.</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Current or planned rifampicin, rifapentine or rifabutin. If yes: do not clear without specialist plan.</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Carbamazepine, oxcarbazepine, phenytoin, phenobarbital or another enzyme-inducing anticonvulsant.</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Efavirenz, nevirapine, etravirine, boosted ARVs, or another antiretroviral product.</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St John’s wort or any herbal/traditional remedy with known or uncertain CYP induction.</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Sensitive CYP3A/P-gp substrate or narrow-therapeutic-index medicine.</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New medicine likely during the next 9 months: TB therapy, anticonvulsant, immunosuppressant, anticoagulant, sedative, antiarrhythmic, antifungal or chemotherapy.</w:t>
            </w:r>
          </w:p>
        </w:tc>
      </w:tr>
      <w:tr>
        <w:trPr>
          <w:cantSplit/>
        </w:trPr>
        <w:tc>
          <w:tcPr>
            <w:tcW w:type="dxa" w:w="500"/>
            <w:tcMar>
              <w:top w:w="60" w:type="dxa"/>
              <w:start w:w="80" w:type="dxa"/>
              <w:bottom w:w="60" w:type="dxa"/>
              <w:end w:w="80" w:type="dxa"/>
            </w:tcMar>
            <w:shd w:fill="F2F4F6"/>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shd w:fill="F2F4F6"/>
          </w:tcPr>
          <w:p>
            <w:pPr>
              <w:keepNext w:val="0"/>
              <w:keepLines w:val="0"/>
              <w:spacing w:before="0" w:after="0" w:line="240" w:lineRule="auto"/>
            </w:pPr>
            <w:r>
              <w:rPr>
                <w:rFonts w:ascii="Calibri" w:hAnsi="Calibri" w:eastAsia="Calibri"/>
                <w:b w:val="0"/>
                <w:i w:val="0"/>
                <w:sz w:val="18"/>
              </w:rPr>
              <w:t>Interaction checker/product label reviewed on ____/____/____ by ______________________________.</w:t>
            </w:r>
          </w:p>
        </w:tc>
      </w:tr>
      <w:tr>
        <w:trPr>
          <w:cantSplit/>
        </w:trPr>
        <w:tc>
          <w:tcPr>
            <w:tcW w:type="dxa" w:w="500"/>
            <w:tcMar>
              <w:top w:w="60" w:type="dxa"/>
              <w:start w:w="80" w:type="dxa"/>
              <w:bottom w:w="60" w:type="dxa"/>
              <w:end w:w="80" w:type="dxa"/>
            </w:tcMar>
          </w:tcPr>
          <w:p>
            <w:pPr>
              <w:keepNext w:val="0"/>
              <w:keepLines w:val="0"/>
              <w:spacing w:before="0" w:after="0" w:line="276" w:lineRule="auto"/>
              <w:jc w:val="center"/>
            </w:pPr>
            <w:r>
              <w:rPr>
                <w:rFonts w:ascii="Calibri" w:hAnsi="Calibri" w:eastAsia="Calibri"/>
                <w:b w:val="0"/>
                <w:i w:val="0"/>
                <w:color w:val="2E74B5"/>
                <w:sz w:val="22"/>
              </w:rPr>
              <w:t>☐</w:t>
            </w:r>
          </w:p>
        </w:tc>
        <w:tc>
          <w:tcPr>
            <w:tcW w:type="dxa" w:w="8860"/>
            <w:tcMar>
              <w:top w:w="60" w:type="dxa"/>
              <w:start w:w="80" w:type="dxa"/>
              <w:bottom w:w="60" w:type="dxa"/>
              <w:end w:w="80" w:type="dxa"/>
            </w:tcMar>
          </w:tcPr>
          <w:p>
            <w:pPr>
              <w:keepNext w:val="0"/>
              <w:keepLines w:val="0"/>
              <w:spacing w:before="0" w:after="0" w:line="240" w:lineRule="auto"/>
            </w:pPr>
            <w:r>
              <w:rPr>
                <w:rFonts w:ascii="Calibri" w:hAnsi="Calibri" w:eastAsia="Calibri"/>
                <w:b w:val="0"/>
                <w:i w:val="0"/>
                <w:sz w:val="18"/>
              </w:rPr>
              <w:t>Pharmacist/HIV/TB specialist recommendation: ______________________________________________.</w:t>
            </w:r>
          </w:p>
        </w:tc>
      </w:tr>
    </w:tbl>
    <w:p>
      <w:pPr>
        <w:spacing w:after="40"/>
      </w:pPr>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Do not improvise</w:t>
            </w:r>
          </w:p>
          <w:p>
            <w:pPr>
              <w:keepNext w:val="0"/>
              <w:keepLines w:val="0"/>
              <w:spacing w:before="0" w:after="0" w:line="264" w:lineRule="auto"/>
            </w:pPr>
            <w:r>
              <w:rPr>
                <w:rFonts w:ascii="Calibri" w:hAnsi="Calibri" w:eastAsia="Calibri"/>
                <w:b w:val="0"/>
                <w:i w:val="0"/>
                <w:sz w:val="20"/>
              </w:rPr>
              <w:t>If a strong or moderate CYP3A inducer must be started after LEN, the current product label may require supplemental injections and oral doses. This is a specialist-managed exception, not a routine junior-doctor calculation.</w:t>
            </w:r>
          </w:p>
        </w:tc>
      </w:tr>
    </w:tbl>
    <w:p>
      <w:pPr>
        <w:keepNext w:val="0"/>
        <w:keepLines w:val="0"/>
        <w:spacing w:before="0" w:after="40" w:line="276" w:lineRule="auto"/>
      </w:pPr>
    </w:p>
    <w:p>
      <w:pPr>
        <w:pStyle w:val="Heading1"/>
      </w:pPr>
      <w:r>
        <w:t>Appendix D. Counseling script and documentation phrases</w:t>
      </w:r>
    </w:p>
    <w:p>
      <w:pPr>
        <w:pStyle w:val="Heading2"/>
      </w:pPr>
      <w:r>
        <w:t>Plain-language counseling points</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4997"/>
        <w:gridCol w:w="4997"/>
      </w:tblGrid>
      <w:tr>
        <w:trPr>
          <w:cantSplit/>
          <w:tblHeader w:val="true"/>
        </w:trPr>
        <w:tc>
          <w:tcPr>
            <w:tcW w:type="dxa" w:w="1650"/>
            <w:tcMar>
              <w:top w:w="70" w:type="dxa"/>
              <w:start w:w="100" w:type="dxa"/>
              <w:bottom w:w="70" w:type="dxa"/>
              <w:end w:w="100" w:type="dxa"/>
            </w:tcMar>
            <w:vAlign w:val="center"/>
            <w:shd w:fill="123B56"/>
          </w:tcPr>
          <w:p>
            <w:pPr>
              <w:keepNext w:val="0"/>
              <w:keepLines w:val="0"/>
              <w:spacing w:before="0" w:after="0" w:line="252" w:lineRule="auto"/>
            </w:pPr>
            <w:r>
              <w:rPr>
                <w:rFonts w:ascii="Calibri" w:hAnsi="Calibri" w:eastAsia="Calibri"/>
                <w:b/>
                <w:i w:val="0"/>
                <w:color w:val="FFFFFF"/>
                <w:sz w:val="17"/>
              </w:rPr>
              <w:t>Topic</w:t>
            </w:r>
          </w:p>
        </w:tc>
        <w:tc>
          <w:tcPr>
            <w:tcW w:type="dxa" w:w="7710"/>
            <w:tcMar>
              <w:top w:w="70" w:type="dxa"/>
              <w:start w:w="100" w:type="dxa"/>
              <w:bottom w:w="70" w:type="dxa"/>
              <w:end w:w="100" w:type="dxa"/>
            </w:tcMar>
            <w:vAlign w:val="center"/>
            <w:shd w:fill="123B56"/>
          </w:tcPr>
          <w:p>
            <w:pPr>
              <w:keepNext w:val="0"/>
              <w:keepLines w:val="0"/>
              <w:spacing w:before="0" w:after="0" w:line="252" w:lineRule="auto"/>
            </w:pPr>
            <w:r>
              <w:rPr>
                <w:rFonts w:ascii="Calibri" w:hAnsi="Calibri" w:eastAsia="Calibri"/>
                <w:b/>
                <w:i w:val="0"/>
                <w:color w:val="FFFFFF"/>
                <w:sz w:val="17"/>
              </w:rPr>
              <w:t>Suggested wording</w:t>
            </w:r>
          </w:p>
        </w:tc>
      </w:tr>
      <w:tr>
        <w:trPr>
          <w:cantSplit/>
        </w:trPr>
        <w:tc>
          <w:tcPr>
            <w:tcW w:type="dxa" w:w="16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Purpose</w:t>
            </w:r>
          </w:p>
        </w:tc>
        <w:tc>
          <w:tcPr>
            <w:tcW w:type="dxa" w:w="77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“This medicine greatly lowers your chance of getting HIV when it is given on schedule. It does not treat HIV and it does not prevent other STIs or pregnancy.”</w:t>
            </w:r>
          </w:p>
        </w:tc>
      </w:tr>
      <w:tr>
        <w:trPr>
          <w:cantSplit/>
        </w:trPr>
        <w:tc>
          <w:tcPr>
            <w:tcW w:type="dxa" w:w="16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7"/>
              </w:rPr>
              <w:t>Testing</w:t>
            </w:r>
          </w:p>
        </w:tc>
        <w:tc>
          <w:tcPr>
            <w:tcW w:type="dxa" w:w="77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7"/>
              </w:rPr>
              <w:t>“We must confirm that you do not have HIV before every injection. Tell us immediately if you develop fever, rash, sore throat, swollen glands or a flu-like illness.”</w:t>
            </w:r>
          </w:p>
        </w:tc>
      </w:tr>
      <w:tr>
        <w:trPr>
          <w:cantSplit/>
        </w:trPr>
        <w:tc>
          <w:tcPr>
            <w:tcW w:type="dxa" w:w="16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Dosing</w:t>
            </w:r>
          </w:p>
        </w:tc>
        <w:tc>
          <w:tcPr>
            <w:tcW w:type="dxa" w:w="77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“Today’s dose includes two injections and two tablets. Tomorrow you take two more tablets. Your next injection visit is 26 weeks from today, within a two-week window.”</w:t>
            </w:r>
          </w:p>
        </w:tc>
      </w:tr>
      <w:tr>
        <w:trPr>
          <w:cantSplit/>
        </w:trPr>
        <w:tc>
          <w:tcPr>
            <w:tcW w:type="dxa" w:w="16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7"/>
              </w:rPr>
              <w:t>Injection site</w:t>
            </w:r>
          </w:p>
        </w:tc>
        <w:tc>
          <w:tcPr>
            <w:tcW w:type="dxa" w:w="77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7"/>
              </w:rPr>
              <w:t>“A lump under the skin is common and can last for many months. Contact us urgently for severe pain, an open sore, pus, fever or redness that spreads.”</w:t>
            </w:r>
          </w:p>
        </w:tc>
      </w:tr>
      <w:tr>
        <w:trPr>
          <w:cantSplit/>
        </w:trPr>
        <w:tc>
          <w:tcPr>
            <w:tcW w:type="dxa" w:w="16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Interactions</w:t>
            </w:r>
          </w:p>
        </w:tc>
        <w:tc>
          <w:tcPr>
            <w:tcW w:type="dxa" w:w="77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“Before starting TB medicine, seizure medicine, HIV medicine, herbal products or any important new prescription, tell the prescriber that lenacapavir is still in your body.”</w:t>
            </w:r>
          </w:p>
        </w:tc>
      </w:tr>
      <w:tr>
        <w:trPr>
          <w:cantSplit/>
        </w:trPr>
        <w:tc>
          <w:tcPr>
            <w:tcW w:type="dxa" w:w="165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i w:val="0"/>
                <w:color w:val="123B56"/>
                <w:sz w:val="17"/>
              </w:rPr>
              <w:t>Tail</w:t>
            </w:r>
          </w:p>
        </w:tc>
        <w:tc>
          <w:tcPr>
            <w:tcW w:type="dxa" w:w="7710"/>
            <w:tcMar>
              <w:top w:w="70" w:type="dxa"/>
              <w:start w:w="100" w:type="dxa"/>
              <w:bottom w:w="70" w:type="dxa"/>
              <w:end w:w="100" w:type="dxa"/>
            </w:tcMar>
            <w:vAlign w:val="center"/>
            <w:shd w:fill="F2F4F6"/>
          </w:tcPr>
          <w:p>
            <w:pPr>
              <w:keepNext w:val="0"/>
              <w:keepLines w:val="0"/>
              <w:spacing w:before="0" w:after="0" w:line="252" w:lineRule="auto"/>
            </w:pPr>
            <w:r>
              <w:rPr>
                <w:rFonts w:ascii="Calibri" w:hAnsi="Calibri" w:eastAsia="Calibri"/>
                <w:b w:val="0"/>
                <w:i w:val="0"/>
                <w:sz w:val="17"/>
              </w:rPr>
              <w:t>“If you stop or miss an injection, the medicine slowly leaves your body and may no longer protect you. We will arrange another PrEP method and continued HIV testing.”</w:t>
            </w:r>
          </w:p>
        </w:tc>
      </w:tr>
      <w:tr>
        <w:trPr>
          <w:cantSplit/>
        </w:trPr>
        <w:tc>
          <w:tcPr>
            <w:tcW w:type="dxa" w:w="165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i w:val="0"/>
                <w:color w:val="123B56"/>
                <w:sz w:val="17"/>
              </w:rPr>
              <w:t>Choice</w:t>
            </w:r>
          </w:p>
        </w:tc>
        <w:tc>
          <w:tcPr>
            <w:tcW w:type="dxa" w:w="7710"/>
            <w:tcMar>
              <w:top w:w="70" w:type="dxa"/>
              <w:start w:w="100" w:type="dxa"/>
              <w:bottom w:w="70" w:type="dxa"/>
              <w:end w:w="100" w:type="dxa"/>
            </w:tcMar>
            <w:vAlign w:val="center"/>
          </w:tcPr>
          <w:p>
            <w:pPr>
              <w:keepNext w:val="0"/>
              <w:keepLines w:val="0"/>
              <w:spacing w:before="0" w:after="0" w:line="252" w:lineRule="auto"/>
            </w:pPr>
            <w:r>
              <w:rPr>
                <w:rFonts w:ascii="Calibri" w:hAnsi="Calibri" w:eastAsia="Calibri"/>
                <w:b w:val="0"/>
                <w:i w:val="0"/>
                <w:sz w:val="17"/>
              </w:rPr>
              <w:t>“You can change your mind. Oral PrEP and other methods may also suit you; we can review them without judgment.”</w:t>
            </w:r>
          </w:p>
        </w:tc>
      </w:tr>
    </w:tbl>
    <w:p>
      <w:pPr>
        <w:spacing w:after="40"/>
      </w:pPr>
    </w:p>
    <w:p>
      <w:pPr>
        <w:pStyle w:val="Heading2"/>
      </w:pPr>
      <w:r>
        <w:t>Suggested decision note</w:t>
      </w: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9994"/>
      </w:tblGrid>
      <w:tr>
        <w:tc>
          <w:tcPr>
            <w:tcW w:type="dxa" w:w="9360"/>
            <w:shd w:fill="E8F1F8"/>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2E74B5"/>
                <w:sz w:val="21"/>
              </w:rPr>
              <w:t>Example</w:t>
            </w:r>
          </w:p>
          <w:p>
            <w:pPr>
              <w:keepNext w:val="0"/>
              <w:keepLines w:val="0"/>
              <w:spacing w:before="0" w:after="0" w:line="264" w:lineRule="auto"/>
            </w:pPr>
            <w:r>
              <w:rPr>
                <w:rFonts w:ascii="Calibri" w:hAnsi="Calibri" w:eastAsia="Calibri"/>
                <w:b w:val="0"/>
                <w:i w:val="0"/>
                <w:sz w:val="20"/>
              </w:rPr>
              <w:t>Client requests HIV PrEP and reports ongoing sexual acquisition risk. No qualifying exposure within 72 hours. Weight ___ kg. National HIV testing algorithm negative on ___; acute-HIV screen negative. HIV RNA [negative/pending/not locally available; repeat plan documented]. HBV/STI evaluation and pregnancy assessment completed as applicable. Full prescription/OTC/herbal and TB medicine review found no unresolved LEN interaction using [resource] on [date]. Options, injection-site reactions, dosing window, long tail, HIV testing, STI limitations and missed-dose plan discussed. Client gives informed consent and can attend follow-up. Decision: [clear/defer/not eligible], reason: ___.</w:t>
            </w:r>
          </w:p>
        </w:tc>
      </w:tr>
    </w:tbl>
    <w:p>
      <w:pPr>
        <w:keepNext w:val="0"/>
        <w:keepLines w:val="0"/>
        <w:spacing w:before="0" w:after="40" w:line="276" w:lineRule="auto"/>
      </w:pPr>
    </w:p>
    <w:p>
      <w:pPr>
        <w:pStyle w:val="Heading1"/>
        <w:pageBreakBefore/>
      </w:pPr>
      <w:r>
        <w:t>References and revision control</w:t>
      </w:r>
    </w:p>
    <w:p>
      <w:pPr>
        <w:keepNext w:val="0"/>
        <w:keepLines w:val="0"/>
        <w:spacing w:before="0" w:after="100" w:line="276" w:lineRule="auto"/>
      </w:pPr>
      <w:r>
        <w:rPr>
          <w:rFonts w:ascii="Calibri" w:hAnsi="Calibri" w:eastAsia="Calibri"/>
          <w:b w:val="0"/>
          <w:i/>
        </w:rPr>
        <w:t>References were selected from WHO, Nigeria national bodies, FDA prescribing information, and CDC clinical guidance. Web content was verified for this version on 28 July 2026. Check for updates before using the guide as a local protocol.</w:t>
      </w:r>
    </w:p>
    <w:p>
      <w:pPr>
        <w:keepNext w:val="0"/>
        <w:keepLines w:val="0"/>
        <w:spacing w:before="0" w:after="100" w:line="252" w:lineRule="auto"/>
        <w:ind w:left="317" w:hanging="317"/>
      </w:pPr>
      <w:r>
        <w:rPr>
          <w:rFonts w:ascii="Calibri" w:hAnsi="Calibri" w:eastAsia="Calibri"/>
          <w:b/>
          <w:i w:val="0"/>
          <w:color w:val="123B56"/>
          <w:sz w:val="18"/>
        </w:rPr>
        <w:t xml:space="preserve">1. </w:t>
      </w:r>
      <w:r>
        <w:rPr>
          <w:rFonts w:ascii="Calibri" w:hAnsi="Calibri" w:eastAsia="Calibri"/>
          <w:b w:val="0"/>
          <w:i w:val="0"/>
          <w:sz w:val="18"/>
        </w:rPr>
        <w:t xml:space="preserve">World Health Organization. (2025). Guidelines on lenacapavir for HIV prevention and testing strategies for long-acting injectable pre-exposure prophylaxis. </w:t>
      </w:r>
      <w:hyperlink r:id="rId11">
        <w:r>
          <w:rPr>
            <w:color w:val="2E74B5"/>
            <w:u w:val="single"/>
          </w:rPr>
          <w:t>https://www.who.int/publications/i/item/9789240111608</w:t>
        </w:r>
      </w:hyperlink>
    </w:p>
    <w:p>
      <w:pPr>
        <w:keepNext w:val="0"/>
        <w:keepLines w:val="0"/>
        <w:spacing w:before="0" w:after="100" w:line="252" w:lineRule="auto"/>
        <w:ind w:left="317" w:hanging="317"/>
      </w:pPr>
      <w:r>
        <w:rPr>
          <w:rFonts w:ascii="Calibri" w:hAnsi="Calibri" w:eastAsia="Calibri"/>
          <w:b/>
          <w:i w:val="0"/>
          <w:color w:val="123B56"/>
          <w:sz w:val="18"/>
        </w:rPr>
        <w:t xml:space="preserve">2. </w:t>
      </w:r>
      <w:r>
        <w:rPr>
          <w:rFonts w:ascii="Calibri" w:hAnsi="Calibri" w:eastAsia="Calibri"/>
          <w:b w:val="0"/>
          <w:i w:val="0"/>
          <w:sz w:val="18"/>
        </w:rPr>
        <w:t xml:space="preserve">U.S. Food and Drug Administration. (2025). YEZTUGO (lenacapavir) prescribing information. </w:t>
      </w:r>
      <w:hyperlink r:id="rId12">
        <w:r>
          <w:rPr>
            <w:color w:val="2E74B5"/>
            <w:u w:val="single"/>
          </w:rPr>
          <w:t>https://www.accessdata.fda.gov/drugsatfda_docs/label/2025/220020s000lbl.pdf</w:t>
        </w:r>
      </w:hyperlink>
    </w:p>
    <w:p>
      <w:pPr>
        <w:keepNext w:val="0"/>
        <w:keepLines w:val="0"/>
        <w:spacing w:before="0" w:after="100" w:line="252" w:lineRule="auto"/>
        <w:ind w:left="317" w:hanging="317"/>
      </w:pPr>
      <w:r>
        <w:rPr>
          <w:rFonts w:ascii="Calibri" w:hAnsi="Calibri" w:eastAsia="Calibri"/>
          <w:b/>
          <w:i w:val="0"/>
          <w:color w:val="123B56"/>
          <w:sz w:val="18"/>
        </w:rPr>
        <w:t xml:space="preserve">3. </w:t>
      </w:r>
      <w:r>
        <w:rPr>
          <w:rFonts w:ascii="Calibri" w:hAnsi="Calibri" w:eastAsia="Calibri"/>
          <w:b w:val="0"/>
          <w:i w:val="0"/>
          <w:sz w:val="18"/>
        </w:rPr>
        <w:t xml:space="preserve">Patel, R. R., et al. (2025). Clinical recommendation for the use of injectable lenacapavir as HIV preexposure prophylaxis—United States, 2025. MMWR, 74, 541–549. </w:t>
      </w:r>
      <w:hyperlink r:id="rId13">
        <w:r>
          <w:rPr>
            <w:color w:val="2E74B5"/>
            <w:u w:val="single"/>
          </w:rPr>
          <w:t>https://www.cdc.gov/mmwr/volumes/74/wr/mm7435a1.htm</w:t>
        </w:r>
      </w:hyperlink>
    </w:p>
    <w:p>
      <w:pPr>
        <w:keepNext w:val="0"/>
        <w:keepLines w:val="0"/>
        <w:spacing w:before="0" w:after="100" w:line="252" w:lineRule="auto"/>
        <w:ind w:left="317" w:hanging="317"/>
      </w:pPr>
      <w:r>
        <w:rPr>
          <w:rFonts w:ascii="Calibri" w:hAnsi="Calibri" w:eastAsia="Calibri"/>
          <w:b/>
          <w:i w:val="0"/>
          <w:color w:val="123B56"/>
          <w:sz w:val="18"/>
        </w:rPr>
        <w:t xml:space="preserve">4. </w:t>
      </w:r>
      <w:r>
        <w:rPr>
          <w:rFonts w:ascii="Calibri" w:hAnsi="Calibri" w:eastAsia="Calibri"/>
          <w:b w:val="0"/>
          <w:i w:val="0"/>
          <w:sz w:val="18"/>
        </w:rPr>
        <w:t xml:space="preserve">World Health Organization Regional Office for Africa. (2026, March 31). Nigeria introduces long-acting HIV prevention option to strengthen national response. </w:t>
      </w:r>
      <w:hyperlink r:id="rId14">
        <w:r>
          <w:rPr>
            <w:color w:val="2E74B5"/>
            <w:u w:val="single"/>
          </w:rPr>
          <w:t>https://www.afro.who.int/countries/nigeria/news/nigeria-introduces-long-acting-hiv-prevention-option-strengthen-national-response</w:t>
        </w:r>
      </w:hyperlink>
    </w:p>
    <w:p>
      <w:pPr>
        <w:keepNext w:val="0"/>
        <w:keepLines w:val="0"/>
        <w:spacing w:before="0" w:after="100" w:line="252" w:lineRule="auto"/>
        <w:ind w:left="317" w:hanging="317"/>
      </w:pPr>
      <w:r>
        <w:rPr>
          <w:rFonts w:ascii="Calibri" w:hAnsi="Calibri" w:eastAsia="Calibri"/>
          <w:b/>
          <w:i w:val="0"/>
          <w:color w:val="123B56"/>
          <w:sz w:val="18"/>
        </w:rPr>
        <w:t xml:space="preserve">5. </w:t>
      </w:r>
      <w:r>
        <w:rPr>
          <w:rFonts w:ascii="Calibri" w:hAnsi="Calibri" w:eastAsia="Calibri"/>
          <w:b w:val="0"/>
          <w:i w:val="0"/>
          <w:sz w:val="18"/>
        </w:rPr>
        <w:t xml:space="preserve">Federal Ministry of Health, Nigeria. (2020). National guidelines for HIV prevention, treatment and care. </w:t>
      </w:r>
      <w:hyperlink r:id="rId15">
        <w:r>
          <w:rPr>
            <w:color w:val="2E74B5"/>
            <w:u w:val="single"/>
          </w:rPr>
          <w:t>https://www.differentiatedservicedelivery.org/wp-content/uploads/National-guidelines-Nigeria-2020.pdf</w:t>
        </w:r>
      </w:hyperlink>
    </w:p>
    <w:p>
      <w:pPr>
        <w:keepNext w:val="0"/>
        <w:keepLines w:val="0"/>
        <w:spacing w:before="0" w:after="100" w:line="252" w:lineRule="auto"/>
        <w:ind w:left="317" w:hanging="317"/>
      </w:pPr>
      <w:r>
        <w:rPr>
          <w:rFonts w:ascii="Calibri" w:hAnsi="Calibri" w:eastAsia="Calibri"/>
          <w:b/>
          <w:i w:val="0"/>
          <w:color w:val="123B56"/>
          <w:sz w:val="18"/>
        </w:rPr>
        <w:t xml:space="preserve">6. </w:t>
      </w:r>
      <w:r>
        <w:rPr>
          <w:rFonts w:ascii="Calibri" w:hAnsi="Calibri" w:eastAsia="Calibri"/>
          <w:b w:val="0"/>
          <w:i w:val="0"/>
          <w:sz w:val="18"/>
        </w:rPr>
        <w:t xml:space="preserve">World Health Organization. (2024). Guidelines for HIV post-exposure prophylaxis. </w:t>
      </w:r>
      <w:hyperlink r:id="rId16">
        <w:r>
          <w:rPr>
            <w:color w:val="2E74B5"/>
            <w:u w:val="single"/>
          </w:rPr>
          <w:t>https://www.who.int/publications/i/item/9789240095137</w:t>
        </w:r>
      </w:hyperlink>
    </w:p>
    <w:p>
      <w:pPr>
        <w:keepNext w:val="0"/>
        <w:keepLines w:val="0"/>
        <w:spacing w:before="0" w:after="100" w:line="252" w:lineRule="auto"/>
        <w:ind w:left="317" w:hanging="317"/>
      </w:pPr>
      <w:r>
        <w:rPr>
          <w:rFonts w:ascii="Calibri" w:hAnsi="Calibri" w:eastAsia="Calibri"/>
          <w:b/>
          <w:i w:val="0"/>
          <w:color w:val="123B56"/>
          <w:sz w:val="18"/>
        </w:rPr>
        <w:t xml:space="preserve">7. </w:t>
      </w:r>
      <w:r>
        <w:rPr>
          <w:rFonts w:ascii="Calibri" w:hAnsi="Calibri" w:eastAsia="Calibri"/>
          <w:b w:val="0"/>
          <w:i w:val="0"/>
          <w:sz w:val="18"/>
        </w:rPr>
        <w:t xml:space="preserve">Tanner, M. R., et al. (2025). Antiretroviral postexposure prophylaxis after sexual, injection drug use, or other nonoccupational exposure to HIV—CDC recommendations, United States, 2025. MMWR, 74(RR-1), 1–56. </w:t>
      </w:r>
      <w:hyperlink r:id="rId17">
        <w:r>
          <w:rPr>
            <w:color w:val="2E74B5"/>
            <w:u w:val="single"/>
          </w:rPr>
          <w:t>https://www.cdc.gov/mmwr/volumes/74/rr/rr7401a1.htm</w:t>
        </w:r>
      </w:hyperlink>
    </w:p>
    <w:p>
      <w:pPr>
        <w:keepNext w:val="0"/>
        <w:keepLines w:val="0"/>
        <w:spacing w:before="0" w:after="100" w:line="252" w:lineRule="auto"/>
        <w:ind w:left="317" w:hanging="317"/>
      </w:pPr>
      <w:r>
        <w:rPr>
          <w:rFonts w:ascii="Calibri" w:hAnsi="Calibri" w:eastAsia="Calibri"/>
          <w:b/>
          <w:i w:val="0"/>
          <w:color w:val="123B56"/>
          <w:sz w:val="18"/>
        </w:rPr>
        <w:t xml:space="preserve">8. </w:t>
      </w:r>
      <w:r>
        <w:rPr>
          <w:rFonts w:ascii="Calibri" w:hAnsi="Calibri" w:eastAsia="Calibri"/>
          <w:b w:val="0"/>
          <w:i w:val="0"/>
          <w:sz w:val="18"/>
        </w:rPr>
        <w:t xml:space="preserve">World Health Organization. (2022). Guidelines on long-acting injectable cabotegravir for HIV prevention. </w:t>
      </w:r>
      <w:hyperlink r:id="rId18">
        <w:r>
          <w:rPr>
            <w:color w:val="2E74B5"/>
            <w:u w:val="single"/>
          </w:rPr>
          <w:t>https://www.who.int/publications/i/item/9789240054097</w:t>
        </w:r>
      </w:hyperlink>
    </w:p>
    <w:p>
      <w:pPr>
        <w:keepNext w:val="0"/>
        <w:keepLines w:val="0"/>
        <w:spacing w:before="0" w:after="100" w:line="252" w:lineRule="auto"/>
        <w:ind w:left="317" w:hanging="317"/>
      </w:pPr>
      <w:r>
        <w:rPr>
          <w:rFonts w:ascii="Calibri" w:hAnsi="Calibri" w:eastAsia="Calibri"/>
          <w:b/>
          <w:i w:val="0"/>
          <w:color w:val="123B56"/>
          <w:sz w:val="18"/>
        </w:rPr>
        <w:t xml:space="preserve">9. </w:t>
      </w:r>
      <w:r>
        <w:rPr>
          <w:rFonts w:ascii="Calibri" w:hAnsi="Calibri" w:eastAsia="Calibri"/>
          <w:b w:val="0"/>
          <w:i w:val="0"/>
          <w:sz w:val="18"/>
        </w:rPr>
        <w:t xml:space="preserve">U.S. Food and Drug Administration. (2025). APRETUDE (cabotegravir) prescribing information. </w:t>
      </w:r>
      <w:hyperlink r:id="rId19">
        <w:r>
          <w:rPr>
            <w:color w:val="2E74B5"/>
            <w:u w:val="single"/>
          </w:rPr>
          <w:t>https://www.accessdata.fda.gov/drugsatfda_docs/label/2025/215499s009lbl.pdf</w:t>
        </w:r>
      </w:hyperlink>
    </w:p>
    <w:p>
      <w:pPr>
        <w:keepNext w:val="0"/>
        <w:keepLines w:val="0"/>
        <w:spacing w:before="0" w:after="100" w:line="252" w:lineRule="auto"/>
        <w:ind w:left="317" w:hanging="317"/>
      </w:pPr>
      <w:r>
        <w:rPr>
          <w:rFonts w:ascii="Calibri" w:hAnsi="Calibri" w:eastAsia="Calibri"/>
          <w:b/>
          <w:i w:val="0"/>
          <w:color w:val="123B56"/>
          <w:sz w:val="18"/>
        </w:rPr>
        <w:t xml:space="preserve">10. </w:t>
      </w:r>
      <w:r>
        <w:rPr>
          <w:rFonts w:ascii="Calibri" w:hAnsi="Calibri" w:eastAsia="Calibri"/>
          <w:b w:val="0"/>
          <w:i w:val="0"/>
          <w:sz w:val="18"/>
        </w:rPr>
        <w:t xml:space="preserve">World Health Organization. (2021, January 26). WHO recommends the dapivirine vaginal ring as a new choice for HIV prevention for women at substantial risk. </w:t>
      </w:r>
      <w:hyperlink r:id="rId20">
        <w:r>
          <w:rPr>
            <w:color w:val="2E74B5"/>
            <w:u w:val="single"/>
          </w:rPr>
          <w:t>https://www.who.int/news/item/26-01-2021-who-recommends-the-dapivirine-vaginal-ring-as-a-new-choice-for-hiv-prevention-for-women-at-substantial-risk-of-hiv-infection</w:t>
        </w:r>
      </w:hyperlink>
    </w:p>
    <w:p>
      <w:pPr>
        <w:keepNext w:val="0"/>
        <w:keepLines w:val="0"/>
        <w:spacing w:before="0" w:after="100" w:line="252" w:lineRule="auto"/>
        <w:ind w:left="317" w:hanging="317"/>
      </w:pPr>
      <w:r>
        <w:rPr>
          <w:rFonts w:ascii="Calibri" w:hAnsi="Calibri" w:eastAsia="Calibri"/>
          <w:b/>
          <w:i w:val="0"/>
          <w:color w:val="123B56"/>
          <w:sz w:val="18"/>
        </w:rPr>
        <w:t xml:space="preserve">11. </w:t>
      </w:r>
      <w:r>
        <w:rPr>
          <w:rFonts w:ascii="Calibri" w:hAnsi="Calibri" w:eastAsia="Calibri"/>
          <w:b w:val="0"/>
          <w:i w:val="0"/>
          <w:sz w:val="18"/>
        </w:rPr>
        <w:t xml:space="preserve">Bachmann, L. H., et al. (2024). CDC clinical guidelines on the use of doxycycline postexposure prophylaxis for bacterial STI prevention. MMWR, 73(RR-2), 1–8. </w:t>
      </w:r>
      <w:hyperlink r:id="rId21">
        <w:r>
          <w:rPr>
            <w:color w:val="2E74B5"/>
            <w:u w:val="single"/>
          </w:rPr>
          <w:t>https://www.cdc.gov/mmwr/volumes/73/rr/rr7302a1.htm</w:t>
        </w:r>
      </w:hyperlink>
    </w:p>
    <w:p>
      <w:pPr>
        <w:keepNext w:val="0"/>
        <w:keepLines w:val="0"/>
        <w:spacing w:before="0" w:after="100" w:line="252" w:lineRule="auto"/>
        <w:ind w:left="317" w:hanging="317"/>
      </w:pPr>
      <w:r>
        <w:rPr>
          <w:rFonts w:ascii="Calibri" w:hAnsi="Calibri" w:eastAsia="Calibri"/>
          <w:b/>
          <w:i w:val="0"/>
          <w:color w:val="123B56"/>
          <w:sz w:val="18"/>
        </w:rPr>
        <w:t xml:space="preserve">12. </w:t>
      </w:r>
      <w:r>
        <w:rPr>
          <w:rFonts w:ascii="Calibri" w:hAnsi="Calibri" w:eastAsia="Calibri"/>
          <w:b w:val="0"/>
          <w:i w:val="0"/>
          <w:sz w:val="18"/>
        </w:rPr>
        <w:t xml:space="preserve">Centers for Disease Control and Prevention. (2021). Table 7: Postexposure prophylaxis for hepatitis B after nonoccupational blood or body-fluid exposure. </w:t>
      </w:r>
      <w:hyperlink r:id="rId22">
        <w:r>
          <w:rPr>
            <w:color w:val="2E74B5"/>
            <w:u w:val="single"/>
          </w:rPr>
          <w:t>https://www.cdc.gov/std/treatment-guidelines/table-7.htm</w:t>
        </w:r>
      </w:hyperlink>
    </w:p>
    <w:p>
      <w:pPr>
        <w:keepNext w:val="0"/>
        <w:keepLines w:val="0"/>
        <w:spacing w:before="0" w:after="100" w:line="252" w:lineRule="auto"/>
        <w:ind w:left="317" w:hanging="317"/>
      </w:pPr>
      <w:r>
        <w:rPr>
          <w:rFonts w:ascii="Calibri" w:hAnsi="Calibri" w:eastAsia="Calibri"/>
          <w:b/>
          <w:i w:val="0"/>
          <w:color w:val="123B56"/>
          <w:sz w:val="18"/>
        </w:rPr>
        <w:t xml:space="preserve">13. </w:t>
      </w:r>
      <w:r>
        <w:rPr>
          <w:rFonts w:ascii="Calibri" w:hAnsi="Calibri" w:eastAsia="Calibri"/>
          <w:b w:val="0"/>
          <w:i w:val="0"/>
          <w:sz w:val="18"/>
        </w:rPr>
        <w:t xml:space="preserve">Centers for Disease Control and Prevention. (2025). Clinical care of hepatitis A. </w:t>
      </w:r>
      <w:hyperlink r:id="rId23">
        <w:r>
          <w:rPr>
            <w:color w:val="2E74B5"/>
            <w:u w:val="single"/>
          </w:rPr>
          <w:t>https://www.cdc.gov/hepatitis-a/hcp/clinical-care/index.html</w:t>
        </w:r>
      </w:hyperlink>
    </w:p>
    <w:p>
      <w:pPr>
        <w:keepNext w:val="0"/>
        <w:keepLines w:val="0"/>
        <w:spacing w:before="0" w:after="100" w:line="252" w:lineRule="auto"/>
        <w:ind w:left="317" w:hanging="317"/>
      </w:pPr>
      <w:r>
        <w:rPr>
          <w:rFonts w:ascii="Calibri" w:hAnsi="Calibri" w:eastAsia="Calibri"/>
          <w:b/>
          <w:i w:val="0"/>
          <w:color w:val="123B56"/>
          <w:sz w:val="18"/>
        </w:rPr>
        <w:t xml:space="preserve">14. </w:t>
      </w:r>
      <w:r>
        <w:rPr>
          <w:rFonts w:ascii="Calibri" w:hAnsi="Calibri" w:eastAsia="Calibri"/>
          <w:b w:val="0"/>
          <w:i w:val="0"/>
          <w:sz w:val="18"/>
        </w:rPr>
        <w:t xml:space="preserve">Centers for Disease Control and Prevention. (2024). Guidelines for health care personnel exposed to hepatitis C virus. </w:t>
      </w:r>
      <w:hyperlink r:id="rId24">
        <w:r>
          <w:rPr>
            <w:color w:val="2E74B5"/>
            <w:u w:val="single"/>
          </w:rPr>
          <w:t>https://www.cdc.gov/hepatitis-c/hcp/infection-control/index.html</w:t>
        </w:r>
      </w:hyperlink>
    </w:p>
    <w:p>
      <w:pPr>
        <w:keepNext w:val="0"/>
        <w:keepLines w:val="0"/>
        <w:spacing w:before="0" w:after="100" w:line="252" w:lineRule="auto"/>
        <w:ind w:left="317" w:hanging="317"/>
      </w:pPr>
      <w:r>
        <w:rPr>
          <w:rFonts w:ascii="Calibri" w:hAnsi="Calibri" w:eastAsia="Calibri"/>
          <w:b/>
          <w:i w:val="0"/>
          <w:color w:val="123B56"/>
          <w:sz w:val="18"/>
        </w:rPr>
        <w:t xml:space="preserve">15. </w:t>
      </w:r>
      <w:r>
        <w:rPr>
          <w:rFonts w:ascii="Calibri" w:hAnsi="Calibri" w:eastAsia="Calibri"/>
          <w:b w:val="0"/>
          <w:i w:val="0"/>
          <w:sz w:val="18"/>
        </w:rPr>
        <w:t xml:space="preserve">Centers for Disease Control and Prevention. (2021). Genital herpes—STI treatment guidelines. </w:t>
      </w:r>
      <w:hyperlink r:id="rId25">
        <w:r>
          <w:rPr>
            <w:color w:val="2E74B5"/>
            <w:u w:val="single"/>
          </w:rPr>
          <w:t>https://www.cdc.gov/std/treatment-guidelines/herpes.htm</w:t>
        </w:r>
      </w:hyperlink>
    </w:p>
    <w:p>
      <w:pPr>
        <w:keepNext w:val="0"/>
        <w:keepLines w:val="0"/>
        <w:spacing w:before="0" w:after="100" w:line="252" w:lineRule="auto"/>
        <w:ind w:left="317" w:hanging="317"/>
      </w:pPr>
      <w:r>
        <w:rPr>
          <w:rFonts w:ascii="Calibri" w:hAnsi="Calibri" w:eastAsia="Calibri"/>
          <w:b/>
          <w:i w:val="0"/>
          <w:color w:val="123B56"/>
          <w:sz w:val="18"/>
        </w:rPr>
        <w:t xml:space="preserve">16. </w:t>
      </w:r>
      <w:r>
        <w:rPr>
          <w:rFonts w:ascii="Calibri" w:hAnsi="Calibri" w:eastAsia="Calibri"/>
          <w:b w:val="0"/>
          <w:i w:val="0"/>
          <w:sz w:val="18"/>
        </w:rPr>
        <w:t xml:space="preserve">World Health Organization. (2022). Human papillomavirus vaccines: WHO position and schedules. </w:t>
      </w:r>
      <w:hyperlink r:id="rId26">
        <w:r>
          <w:rPr>
            <w:color w:val="2E74B5"/>
            <w:u w:val="single"/>
          </w:rPr>
          <w:t>https://www.who.int/teams/immunization-vaccines-and-biologicals/diseases/human-papillomavirus-vaccines-%28HPV%29</w:t>
        </w:r>
      </w:hyperlink>
    </w:p>
    <w:p>
      <w:pPr>
        <w:keepNext w:val="0"/>
        <w:keepLines w:val="0"/>
        <w:spacing w:before="0" w:after="100" w:line="252" w:lineRule="auto"/>
        <w:ind w:left="317" w:hanging="317"/>
      </w:pPr>
      <w:r>
        <w:rPr>
          <w:rFonts w:ascii="Calibri" w:hAnsi="Calibri" w:eastAsia="Calibri"/>
          <w:b/>
          <w:i w:val="0"/>
          <w:color w:val="123B56"/>
          <w:sz w:val="18"/>
        </w:rPr>
        <w:t xml:space="preserve">17. </w:t>
      </w:r>
      <w:r>
        <w:rPr>
          <w:rFonts w:ascii="Calibri" w:hAnsi="Calibri" w:eastAsia="Calibri"/>
          <w:b w:val="0"/>
          <w:i w:val="0"/>
          <w:sz w:val="18"/>
        </w:rPr>
        <w:t xml:space="preserve">World Health Organization Regional Office for Africa. (2023). Nigeria to vaccinate 7.7 million girls against the leading cause of cervical cancer. </w:t>
      </w:r>
      <w:hyperlink r:id="rId27">
        <w:r>
          <w:rPr>
            <w:color w:val="2E74B5"/>
            <w:u w:val="single"/>
          </w:rPr>
          <w:t>https://www.afro.who.int/countries/nigeria/news/nigeria-vaccinate-77-million-girls-against-leading-cause-cervical-cancer</w:t>
        </w:r>
      </w:hyperlink>
    </w:p>
    <w:p>
      <w:pPr>
        <w:keepNext w:val="0"/>
        <w:keepLines w:val="0"/>
        <w:spacing w:before="0" w:after="100" w:line="252" w:lineRule="auto"/>
        <w:ind w:left="317" w:hanging="317"/>
      </w:pPr>
      <w:r>
        <w:rPr>
          <w:rFonts w:ascii="Calibri" w:hAnsi="Calibri" w:eastAsia="Calibri"/>
          <w:b/>
          <w:i w:val="0"/>
          <w:color w:val="123B56"/>
          <w:sz w:val="18"/>
        </w:rPr>
        <w:t xml:space="preserve">18. </w:t>
      </w:r>
      <w:r>
        <w:rPr>
          <w:rFonts w:ascii="Calibri" w:hAnsi="Calibri" w:eastAsia="Calibri"/>
          <w:b w:val="0"/>
          <w:i w:val="0"/>
          <w:sz w:val="18"/>
        </w:rPr>
        <w:t xml:space="preserve">World Health Organization. (2024). Mpox fact sheet. </w:t>
      </w:r>
      <w:hyperlink r:id="rId28">
        <w:r>
          <w:rPr>
            <w:color w:val="2E74B5"/>
            <w:u w:val="single"/>
          </w:rPr>
          <w:t>https://www.who.int/news-room/fact-sheets/detail/mpox</w:t>
        </w:r>
      </w:hyperlink>
    </w:p>
    <w:p>
      <w:pPr>
        <w:keepNext w:val="0"/>
        <w:keepLines w:val="0"/>
        <w:spacing w:before="0" w:after="100" w:line="252" w:lineRule="auto"/>
        <w:ind w:left="317" w:hanging="317"/>
      </w:pPr>
      <w:r>
        <w:rPr>
          <w:rFonts w:ascii="Calibri" w:hAnsi="Calibri" w:eastAsia="Calibri"/>
          <w:b/>
          <w:i w:val="0"/>
          <w:color w:val="123B56"/>
          <w:sz w:val="18"/>
        </w:rPr>
        <w:t xml:space="preserve">19. </w:t>
      </w:r>
      <w:r>
        <w:rPr>
          <w:rFonts w:ascii="Calibri" w:hAnsi="Calibri" w:eastAsia="Calibri"/>
          <w:b w:val="0"/>
          <w:i w:val="0"/>
          <w:sz w:val="18"/>
        </w:rPr>
        <w:t xml:space="preserve">Centers for Disease Control and Prevention. (2021). Sexual assault and abuse and STIs—adolescents and adults. </w:t>
      </w:r>
      <w:hyperlink r:id="rId29">
        <w:r>
          <w:rPr>
            <w:color w:val="2E74B5"/>
            <w:u w:val="single"/>
          </w:rPr>
          <w:t>https://www.cdc.gov/std/treatment-guidelines/sexual-assault-adults.htm</w:t>
        </w:r>
      </w:hyperlink>
    </w:p>
    <w:p>
      <w:pPr>
        <w:keepNext w:val="0"/>
        <w:keepLines w:val="0"/>
        <w:spacing w:before="0" w:after="100" w:line="252" w:lineRule="auto"/>
        <w:ind w:left="317" w:hanging="317"/>
      </w:pPr>
      <w:r>
        <w:rPr>
          <w:rFonts w:ascii="Calibri" w:hAnsi="Calibri" w:eastAsia="Calibri"/>
          <w:b/>
          <w:i w:val="0"/>
          <w:color w:val="123B56"/>
          <w:sz w:val="18"/>
        </w:rPr>
        <w:t xml:space="preserve">20. </w:t>
      </w:r>
      <w:r>
        <w:rPr>
          <w:rFonts w:ascii="Calibri" w:hAnsi="Calibri" w:eastAsia="Calibri"/>
          <w:b w:val="0"/>
          <w:i w:val="0"/>
          <w:sz w:val="18"/>
        </w:rPr>
        <w:t xml:space="preserve">Centers for Disease Control and Prevention. (2026). Clinical guidance for PrEP. </w:t>
      </w:r>
      <w:hyperlink r:id="rId30">
        <w:r>
          <w:rPr>
            <w:color w:val="2E74B5"/>
            <w:u w:val="single"/>
          </w:rPr>
          <w:t>https://www.cdc.gov/hivnexus/hcp/prep/index.html</w:t>
        </w:r>
      </w:hyperlink>
    </w:p>
    <w:p>
      <w:pPr>
        <w:keepNext w:val="0"/>
        <w:keepLines w:val="0"/>
        <w:spacing w:before="0" w:after="100" w:line="252" w:lineRule="auto"/>
        <w:ind w:left="317" w:hanging="317"/>
      </w:pPr>
      <w:r>
        <w:rPr>
          <w:rFonts w:ascii="Calibri" w:hAnsi="Calibri" w:eastAsia="Calibri"/>
          <w:b/>
          <w:i w:val="0"/>
          <w:color w:val="123B56"/>
          <w:sz w:val="18"/>
        </w:rPr>
        <w:t xml:space="preserve">21. </w:t>
      </w:r>
      <w:r>
        <w:rPr>
          <w:rFonts w:ascii="Calibri" w:hAnsi="Calibri" w:eastAsia="Calibri"/>
          <w:b w:val="0"/>
          <w:i w:val="0"/>
          <w:sz w:val="18"/>
        </w:rPr>
        <w:t xml:space="preserve">National Agency for the Control of AIDS. (2026). Stakeholders strengthen capacity for community-led HIV prevention through HPAT training. </w:t>
      </w:r>
      <w:hyperlink r:id="rId31">
        <w:r>
          <w:rPr>
            <w:color w:val="2E74B5"/>
            <w:u w:val="single"/>
          </w:rPr>
          <w:t>https://naca.gov.ng/stakeholders-strengthen-capacity-for-community-led-hiv-prevention-through-hpat-training/</w:t>
        </w:r>
      </w:hyperlink>
    </w:p>
    <w:p>
      <w:pPr>
        <w:pStyle w:val="Heading2"/>
      </w:pPr>
      <w:r>
        <w:t>Revision control</w:t>
      </w:r>
    </w:p>
    <w:tbl>
      <w:tblPr>
        <w:tblW w:type="auto" w:w="0"/>
        <w:jc w:val="center"/>
        <w:tblLayout w:type="fixed"/>
        <w:tblLook w:firstColumn="1" w:firstRow="1" w:lastColumn="0" w:lastRow="0" w:noHBand="0" w:noVBand="1" w:val="04A0"/>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Pr>
      <w:tblGrid>
        <w:gridCol w:w="2498"/>
        <w:gridCol w:w="2498"/>
        <w:gridCol w:w="2498"/>
        <w:gridCol w:w="2498"/>
      </w:tblGrid>
      <w:tr>
        <w:trPr>
          <w:tblHeader w:val="true"/>
          <w:cantSplit/>
        </w:trPr>
        <w:tc>
          <w:tcPr>
            <w:tcW w:type="dxa" w:w="9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Version</w:t>
            </w:r>
          </w:p>
        </w:tc>
        <w:tc>
          <w:tcPr>
            <w:tcW w:type="dxa" w:w="13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Date</w:t>
            </w:r>
          </w:p>
        </w:tc>
        <w:tc>
          <w:tcPr>
            <w:tcW w:type="dxa" w:w="470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Main changes</w:t>
            </w:r>
          </w:p>
        </w:tc>
        <w:tc>
          <w:tcPr>
            <w:tcW w:type="dxa" w:w="2460"/>
            <w:shd w:fill="123B56"/>
            <w:tcMar>
              <w:top w:w="90" w:type="dxa"/>
              <w:start w:w="90" w:type="dxa"/>
              <w:bottom w:w="90" w:type="dxa"/>
              <w:end w:w="90" w:type="dxa"/>
            </w:tcMar>
          </w:tcPr>
          <w:p>
            <w:pPr>
              <w:keepNext w:val="0"/>
              <w:keepLines w:val="0"/>
              <w:spacing w:before="0" w:after="0" w:line="240" w:lineRule="auto"/>
              <w:jc w:val="left"/>
            </w:pPr>
            <w:r>
              <w:rPr>
                <w:rFonts w:ascii="Calibri" w:hAnsi="Calibri" w:eastAsia="Calibri"/>
                <w:b/>
                <w:i w:val="0"/>
                <w:color w:val="FFFFFF"/>
                <w:sz w:val="16"/>
              </w:rPr>
              <w:t>Review trigger</w:t>
            </w:r>
          </w:p>
        </w:tc>
      </w:tr>
      <w:tr>
        <w:trPr>
          <w:cantSplit/>
        </w:trPr>
        <w:tc>
          <w:tcPr>
            <w:tcW w:type="dxa" w:w="9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i w:val="0"/>
                <w:color w:val="123B56"/>
                <w:sz w:val="16"/>
              </w:rPr>
              <w:t>1.0</w:t>
            </w:r>
          </w:p>
        </w:tc>
        <w:tc>
          <w:tcPr>
            <w:tcW w:type="dxa" w:w="13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28 July 2026</w:t>
            </w:r>
          </w:p>
        </w:tc>
        <w:tc>
          <w:tcPr>
            <w:tcW w:type="dxa" w:w="470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Initial Nigeria-focused LEN eligibility workflow; HIV PrEP/PEP alternatives; DoxyPEP, viral vaccine/IG PEP, and printable aids.</w:t>
            </w:r>
          </w:p>
        </w:tc>
        <w:tc>
          <w:tcPr>
            <w:tcW w:type="dxa" w:w="2460"/>
            <w:tcMar>
              <w:top w:w="75" w:type="dxa"/>
              <w:start w:w="90" w:type="dxa"/>
              <w:bottom w:w="75" w:type="dxa"/>
              <w:end w:w="90" w:type="dxa"/>
            </w:tcMar>
            <w:vAlign w:val="top"/>
          </w:tcPr>
          <w:p>
            <w:pPr>
              <w:keepNext w:val="0"/>
              <w:keepLines w:val="0"/>
              <w:spacing w:before="0" w:after="0" w:line="252" w:lineRule="auto"/>
            </w:pPr>
            <w:r>
              <w:rPr>
                <w:rFonts w:ascii="Calibri" w:hAnsi="Calibri" w:eastAsia="Calibri"/>
                <w:b w:val="0"/>
                <w:i w:val="0"/>
                <w:sz w:val="16"/>
              </w:rPr>
              <w:t>New FMOH/NASCP LEN circular, product-label change, WHO/CDC update, local formulary or antimicrobial-resistance change.</w:t>
            </w:r>
          </w:p>
        </w:tc>
      </w:tr>
    </w:tbl>
    <w:p>
      <w:pPr>
        <w:keepNext w:val="0"/>
        <w:keepLines w:val="0"/>
        <w:spacing w:before="0" w:after="40" w:line="276" w:lineRule="auto"/>
      </w:pPr>
    </w:p>
    <w:tbl>
      <w:tblPr>
        <w:tblW w:type="auto" w:w="0"/>
        <w:jc w:val="center"/>
        <w:tblLayout w:type="fixed"/>
        <w:tblLook w:firstColumn="1" w:firstRow="1" w:lastColumn="0" w:lastRow="0" w:noHBand="0" w:noVBand="1" w:val="04A0"/>
        <w:tblBorders>
          <w:top w:val="single" w:sz="8" w:space="0" w:color="8A5A00"/>
          <w:left w:val="single" w:sz="8" w:space="0" w:color="8A5A00"/>
          <w:bottom w:val="single" w:sz="8" w:space="0" w:color="8A5A00"/>
          <w:right w:val="single" w:sz="8" w:space="0" w:color="8A5A00"/>
        </w:tblBorders>
      </w:tblPr>
      <w:tblGrid>
        <w:gridCol w:w="9994"/>
      </w:tblGrid>
      <w:tr>
        <w:tc>
          <w:tcPr>
            <w:tcW w:type="dxa" w:w="9360"/>
            <w:shd w:fill="FFF4CC"/>
            <w:tcMar>
              <w:top w:w="100" w:type="dxa"/>
              <w:start w:w="150" w:type="dxa"/>
              <w:bottom w:w="100" w:type="dxa"/>
              <w:end w:w="150" w:type="dxa"/>
            </w:tcMar>
          </w:tcPr>
          <w:p>
            <w:pPr>
              <w:keepNext/>
              <w:keepLines w:val="0"/>
              <w:spacing w:before="0" w:after="40" w:line="276" w:lineRule="auto"/>
            </w:pPr>
            <w:r>
              <w:rPr>
                <w:rFonts w:ascii="Calibri" w:hAnsi="Calibri" w:eastAsia="Calibri"/>
                <w:b/>
                <w:i w:val="0"/>
                <w:color w:val="8A5A00"/>
                <w:sz w:val="21"/>
              </w:rPr>
              <w:t>Local adoption checklist</w:t>
            </w:r>
          </w:p>
          <w:p>
            <w:pPr>
              <w:keepNext w:val="0"/>
              <w:keepLines w:val="0"/>
              <w:spacing w:before="0" w:after="0" w:line="264" w:lineRule="auto"/>
            </w:pPr>
            <w:r>
              <w:rPr>
                <w:rFonts w:ascii="Calibri" w:hAnsi="Calibri" w:eastAsia="Calibri"/>
                <w:b w:val="0"/>
                <w:i w:val="0"/>
                <w:sz w:val="20"/>
              </w:rPr>
              <w:t>Before issuing this document as a facility protocol, obtain review from the HIV/ID lead, pharmacy, laboratory, nursing/injection lead, TB programme, reproductive health/GBV service, and antimicrobial stewardship committee. Add local referral contacts, testing algorithm, stock procedures, emergency numbers, adverse-event reporting channel, and named senior reviewer.</w:t>
            </w:r>
          </w:p>
        </w:tc>
      </w:tr>
    </w:tbl>
    <w:p>
      <w:pPr>
        <w:keepNext w:val="0"/>
        <w:keepLines w:val="0"/>
        <w:spacing w:before="0" w:after="40" w:line="276" w:lineRule="auto"/>
      </w:pPr>
    </w:p>
    <w:sectPr w:rsidR="00FC693F" w:rsidRPr="0006063C" w:rsidSect="00034616">
      <w:headerReference w:type="default" r:id="rId9"/>
      <w:footerReference w:type="default" r:id="rId10"/>
      <w:pgSz w:w="12240" w:h="15840"/>
      <w:pgMar w:top="1037"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997"/>
      <w:gridCol w:w="4997"/>
    </w:tblGrid>
    <w:tr>
      <w:tc>
        <w:tcPr>
          <w:tcW w:type="dxa" w:w="7600"/>
          <w:tcMar>
            <w:top w:w="30" w:type="dxa"/>
            <w:start w:w="0" w:type="dxa"/>
            <w:bottom w:w="0" w:type="dxa"/>
            <w:end w:w="0" w:type="dxa"/>
          </w:tcMar>
        </w:tcPr>
        <w:p>
          <w:pPr>
            <w:keepNext w:val="0"/>
            <w:keepLines w:val="0"/>
            <w:spacing w:before="0" w:after="0" w:line="240" w:lineRule="auto"/>
          </w:pPr>
          <w:r>
            <w:rPr>
              <w:rFonts w:ascii="Calibri" w:hAnsi="Calibri" w:eastAsia="Calibri"/>
              <w:b w:val="0"/>
              <w:i w:val="0"/>
              <w:color w:val="374151"/>
              <w:sz w:val="15"/>
            </w:rPr>
            <w:t>Clinical education aid • Verify current FMOH/NASCP guidance and product label</w:t>
          </w:r>
        </w:p>
      </w:tc>
      <w:tc>
        <w:tcPr>
          <w:tcW w:type="dxa" w:w="1760"/>
          <w:tcMar>
            <w:top w:w="30" w:type="dxa"/>
            <w:start w:w="0" w:type="dxa"/>
            <w:bottom w:w="0" w:type="dxa"/>
            <w:end w:w="0" w:type="dxa"/>
          </w:tcMar>
        </w:tcPr>
        <w:p>
          <w:pPr>
            <w:keepNext w:val="0"/>
            <w:keepLines w:val="0"/>
            <w:spacing w:before="0" w:after="0" w:line="240" w:lineRule="auto"/>
            <w:jc w:val="right"/>
          </w:pPr>
          <w:r>
            <w:rPr>
              <w:rFonts w:ascii="Calibri" w:hAnsi="Calibri" w:eastAsia="Calibri"/>
              <w:b w:val="0"/>
              <w:i w:val="0"/>
              <w:color w:val="374151"/>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tblBorders>
    </w:tblPr>
    <w:tblGrid>
      <w:gridCol w:w="4997"/>
      <w:gridCol w:w="4997"/>
    </w:tblGrid>
    <w:tr>
      <w:tc>
        <w:tcPr>
          <w:tcW w:type="dxa" w:w="6500"/>
          <w:tcMar>
            <w:top w:w="0" w:type="dxa"/>
            <w:start w:w="0" w:type="dxa"/>
            <w:bottom w:w="40" w:type="dxa"/>
            <w:end w:w="0" w:type="dxa"/>
          </w:tcMar>
        </w:tcPr>
        <w:p>
          <w:pPr>
            <w:keepNext w:val="0"/>
            <w:keepLines w:val="0"/>
            <w:spacing w:before="0" w:after="0" w:line="240" w:lineRule="auto"/>
          </w:pPr>
          <w:r>
            <w:rPr>
              <w:rFonts w:ascii="Calibri" w:hAnsi="Calibri" w:eastAsia="Calibri"/>
              <w:b/>
              <w:i w:val="0"/>
              <w:color w:val="123B56"/>
              <w:sz w:val="17"/>
            </w:rPr>
            <w:t>LENACAPAVIR PrEP CLINICAL PROTOCOL</w:t>
          </w:r>
        </w:p>
      </w:tc>
      <w:tc>
        <w:tcPr>
          <w:tcW w:type="dxa" w:w="2860"/>
          <w:tcMar>
            <w:top w:w="0" w:type="dxa"/>
            <w:start w:w="0" w:type="dxa"/>
            <w:bottom w:w="40" w:type="dxa"/>
            <w:end w:w="0" w:type="dxa"/>
          </w:tcMar>
        </w:tcPr>
        <w:p>
          <w:pPr>
            <w:keepNext w:val="0"/>
            <w:keepLines w:val="0"/>
            <w:spacing w:before="0" w:after="0" w:line="240" w:lineRule="auto"/>
            <w:jc w:val="right"/>
          </w:pPr>
          <w:r>
            <w:rPr>
              <w:rFonts w:ascii="Calibri" w:hAnsi="Calibri" w:eastAsia="Calibri"/>
              <w:b/>
              <w:i w:val="0"/>
              <w:color w:val="0F766E"/>
              <w:sz w:val="17"/>
            </w:rPr>
            <w:t>NIGERIA-FOCUSED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23B5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eastAsia="Calibri"/>
      <w:color w:val="374151"/>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Calibri" w:hAnsi="Calibri" w:eastAsia="Calibri"/>
      <w:color w:val="374151"/>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eastAsia="Calibri"/>
      <w:color w:val="374151"/>
      <w:sz w:val="20"/>
    </w:rPr>
  </w:style>
  <w:style w:type="paragraph" w:styleId="ListNumber2">
    <w:name w:val="List Number 2"/>
    <w:basedOn w:val="Normal"/>
    <w:uiPriority w:val="99"/>
    <w:unhideWhenUsed/>
    <w:rsid w:val="0029639D"/>
    <w:pPr>
      <w:numPr>
        <w:numId w:val="6"/>
      </w:numPr>
      <w:spacing w:after="60" w:line="259" w:lineRule="auto"/>
      <w:contextualSpacing/>
    </w:pPr>
    <w:rPr>
      <w:rFonts w:ascii="Calibri" w:hAnsi="Calibri" w:eastAsia="Calibri"/>
      <w:color w:val="374151"/>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111608" TargetMode="External"/><Relationship Id="rId12" Type="http://schemas.openxmlformats.org/officeDocument/2006/relationships/hyperlink" Target="https://www.accessdata.fda.gov/drugsatfda_docs/label/2025/220020s000lbl.pdf" TargetMode="External"/><Relationship Id="rId13" Type="http://schemas.openxmlformats.org/officeDocument/2006/relationships/hyperlink" Target="https://www.cdc.gov/mmwr/volumes/74/wr/mm7435a1.htm" TargetMode="External"/><Relationship Id="rId14" Type="http://schemas.openxmlformats.org/officeDocument/2006/relationships/hyperlink" Target="https://www.afro.who.int/countries/nigeria/news/nigeria-introduces-long-acting-hiv-prevention-option-strengthen-national-response" TargetMode="External"/><Relationship Id="rId15" Type="http://schemas.openxmlformats.org/officeDocument/2006/relationships/hyperlink" Target="https://www.differentiatedservicedelivery.org/wp-content/uploads/National-guidelines-Nigeria-2020.pdf" TargetMode="External"/><Relationship Id="rId16" Type="http://schemas.openxmlformats.org/officeDocument/2006/relationships/hyperlink" Target="https://www.who.int/publications/i/item/9789240095137" TargetMode="External"/><Relationship Id="rId17" Type="http://schemas.openxmlformats.org/officeDocument/2006/relationships/hyperlink" Target="https://www.cdc.gov/mmwr/volumes/74/rr/rr7401a1.htm" TargetMode="External"/><Relationship Id="rId18" Type="http://schemas.openxmlformats.org/officeDocument/2006/relationships/hyperlink" Target="https://www.who.int/publications/i/item/9789240054097" TargetMode="External"/><Relationship Id="rId19" Type="http://schemas.openxmlformats.org/officeDocument/2006/relationships/hyperlink" Target="https://www.accessdata.fda.gov/drugsatfda_docs/label/2025/215499s009lbl.pdf" TargetMode="External"/><Relationship Id="rId20" Type="http://schemas.openxmlformats.org/officeDocument/2006/relationships/hyperlink" Target="https://www.who.int/news/item/26-01-2021-who-recommends-the-dapivirine-vaginal-ring-as-a-new-choice-for-hiv-prevention-for-women-at-substantial-risk-of-hiv-infection" TargetMode="External"/><Relationship Id="rId21" Type="http://schemas.openxmlformats.org/officeDocument/2006/relationships/hyperlink" Target="https://www.cdc.gov/mmwr/volumes/73/rr/rr7302a1.htm" TargetMode="External"/><Relationship Id="rId22" Type="http://schemas.openxmlformats.org/officeDocument/2006/relationships/hyperlink" Target="https://www.cdc.gov/std/treatment-guidelines/table-7.htm" TargetMode="External"/><Relationship Id="rId23" Type="http://schemas.openxmlformats.org/officeDocument/2006/relationships/hyperlink" Target="https://www.cdc.gov/hepatitis-a/hcp/clinical-care/index.html" TargetMode="External"/><Relationship Id="rId24" Type="http://schemas.openxmlformats.org/officeDocument/2006/relationships/hyperlink" Target="https://www.cdc.gov/hepatitis-c/hcp/infection-control/index.html" TargetMode="External"/><Relationship Id="rId25" Type="http://schemas.openxmlformats.org/officeDocument/2006/relationships/hyperlink" Target="https://www.cdc.gov/std/treatment-guidelines/herpes.htm" TargetMode="External"/><Relationship Id="rId26" Type="http://schemas.openxmlformats.org/officeDocument/2006/relationships/hyperlink" Target="https://www.who.int/teams/immunization-vaccines-and-biologicals/diseases/human-papillomavirus-vaccines-%28HPV%29" TargetMode="External"/><Relationship Id="rId27" Type="http://schemas.openxmlformats.org/officeDocument/2006/relationships/hyperlink" Target="https://www.afro.who.int/countries/nigeria/news/nigeria-vaccinate-77-million-girls-against-leading-cause-cervical-cancer" TargetMode="External"/><Relationship Id="rId28" Type="http://schemas.openxmlformats.org/officeDocument/2006/relationships/hyperlink" Target="https://www.who.int/news-room/fact-sheets/detail/mpox" TargetMode="External"/><Relationship Id="rId29" Type="http://schemas.openxmlformats.org/officeDocument/2006/relationships/hyperlink" Target="https://www.cdc.gov/std/treatment-guidelines/sexual-assault-adults.htm" TargetMode="External"/><Relationship Id="rId30" Type="http://schemas.openxmlformats.org/officeDocument/2006/relationships/hyperlink" Target="https://www.cdc.gov/hivnexus/hcp/prep/index.html" TargetMode="External"/><Relationship Id="rId31" Type="http://schemas.openxmlformats.org/officeDocument/2006/relationships/hyperlink" Target="https://naca.gov.ng/stakeholders-strengthen-capacity-for-community-led-hiv-prevention-through-hpat-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Lenacapavir PrEP Clinical Assessment and Eligibility Protocol</dc:title>
  <dc:subject>Junior doctor guide for HIV PrEP, HIV PEP, and STI prophylaxis</dc:subject>
  <dc:creator>Clinical Education Protocol</dc:creator>
  <cp:keywords>lenacapavir, PrEP, PEP, HIV, STI, Nigeria, junior doctors</cp:keywords>
  <dc:description>Version 1.0, issued 28 July 2026</dc:description>
  <cp:lastModifiedBy/>
  <cp:revision>1</cp:revision>
  <dcterms:created xsi:type="dcterms:W3CDTF">2013-12-23T23:15:00Z</dcterms:created>
  <dcterms:modified xsi:type="dcterms:W3CDTF">2013-12-23T23:15:00Z</dcterms:modified>
  <cp:category/>
</cp:coreProperties>
</file>