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9"/>
        <w:gridCol w:w="1682"/>
        <w:gridCol w:w="1947"/>
        <w:gridCol w:w="1889"/>
        <w:gridCol w:w="2159"/>
      </w:tblGrid>
      <w:tr w:rsidR="00155C6B" w:rsidRPr="00155C6B" w14:paraId="7B466623" w14:textId="77777777" w:rsidTr="00155C6B">
        <w:tc>
          <w:tcPr>
            <w:tcW w:w="0" w:type="auto"/>
            <w:hideMark/>
          </w:tcPr>
          <w:p w14:paraId="40407E79" w14:textId="77777777" w:rsidR="00155C6B" w:rsidRPr="00155C6B" w:rsidRDefault="00155C6B" w:rsidP="00155C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Author</w:t>
            </w:r>
          </w:p>
        </w:tc>
        <w:tc>
          <w:tcPr>
            <w:tcW w:w="0" w:type="auto"/>
            <w:hideMark/>
          </w:tcPr>
          <w:p w14:paraId="0540CF96" w14:textId="77777777" w:rsidR="00155C6B" w:rsidRPr="00155C6B" w:rsidRDefault="00155C6B" w:rsidP="00155C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Title</w:t>
            </w:r>
          </w:p>
        </w:tc>
        <w:tc>
          <w:tcPr>
            <w:tcW w:w="0" w:type="auto"/>
            <w:hideMark/>
          </w:tcPr>
          <w:p w14:paraId="226868FD" w14:textId="77777777" w:rsidR="00155C6B" w:rsidRPr="00155C6B" w:rsidRDefault="00155C6B" w:rsidP="00155C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Methodology/Main Contribution</w:t>
            </w:r>
          </w:p>
        </w:tc>
        <w:tc>
          <w:tcPr>
            <w:tcW w:w="0" w:type="auto"/>
            <w:hideMark/>
          </w:tcPr>
          <w:p w14:paraId="1A906DEE" w14:textId="77777777" w:rsidR="00155C6B" w:rsidRPr="00155C6B" w:rsidRDefault="00155C6B" w:rsidP="00155C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Findings/Outcome</w:t>
            </w:r>
          </w:p>
        </w:tc>
        <w:tc>
          <w:tcPr>
            <w:tcW w:w="0" w:type="auto"/>
            <w:hideMark/>
          </w:tcPr>
          <w:p w14:paraId="31D609E5" w14:textId="77777777" w:rsidR="00155C6B" w:rsidRPr="00155C6B" w:rsidRDefault="00155C6B" w:rsidP="00155C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Limitations/Research Gaps</w:t>
            </w:r>
          </w:p>
        </w:tc>
      </w:tr>
      <w:tr w:rsidR="00155C6B" w:rsidRPr="00155C6B" w14:paraId="1EE38BAD" w14:textId="77777777" w:rsidTr="00155C6B">
        <w:tc>
          <w:tcPr>
            <w:tcW w:w="0" w:type="auto"/>
            <w:hideMark/>
          </w:tcPr>
          <w:p w14:paraId="56C945A6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Pilleriin</w:t>
            </w:r>
            <w:proofErr w:type="spellEnd"/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Lillemets, Nabaa Bashir Jawad, Joseph Kashi, Ahmad Sabah, Nicola Dragoni.</w:t>
            </w:r>
          </w:p>
        </w:tc>
        <w:tc>
          <w:tcPr>
            <w:tcW w:w="0" w:type="auto"/>
            <w:hideMark/>
          </w:tcPr>
          <w:p w14:paraId="0281D1BE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A Systematic Review of Cyber Range Taxonomies: Trends, Gaps, and a Proposed Taxonomy.</w:t>
            </w:r>
          </w:p>
        </w:tc>
        <w:tc>
          <w:tcPr>
            <w:tcW w:w="0" w:type="auto"/>
            <w:hideMark/>
          </w:tcPr>
          <w:p w14:paraId="495810BB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A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3-phase systematic literature review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</w:t>
            </w:r>
            <w:proofErr w:type="spellStart"/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analyzing</w:t>
            </w:r>
            <w:proofErr w:type="spellEnd"/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206 studies (2014–2024). Proposed a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refined 7-dimension taxonomy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and an open-source Taxonomy Mapping Toolkit.</w:t>
            </w:r>
          </w:p>
        </w:tc>
        <w:tc>
          <w:tcPr>
            <w:tcW w:w="0" w:type="auto"/>
            <w:hideMark/>
          </w:tcPr>
          <w:p w14:paraId="5286C44E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Modern cyber ranges are evolving into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scenario-rich environments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, but previous taxonomies lacked infrastructural focus. The new framework successfully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bridges functional capabilities with underlying technology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(Scenario, Environment, Teaming, Learning, Monitoring, Management, Technology).</w:t>
            </w:r>
          </w:p>
        </w:tc>
        <w:tc>
          <w:tcPr>
            <w:tcW w:w="0" w:type="auto"/>
            <w:hideMark/>
          </w:tcPr>
          <w:p w14:paraId="1725C42C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Excluded the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Econometrics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dimension due to sparse literature. Lacks integration of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socio-technical dimensions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(governance, human factors) and warns against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static classifications becoming obsolete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</w:p>
        </w:tc>
      </w:tr>
      <w:tr w:rsidR="00155C6B" w:rsidRPr="00155C6B" w14:paraId="261EB3F3" w14:textId="77777777" w:rsidTr="00155C6B">
        <w:tc>
          <w:tcPr>
            <w:tcW w:w="0" w:type="auto"/>
            <w:hideMark/>
          </w:tcPr>
          <w:p w14:paraId="1A722E76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Chris Hicks, Elizabeth Bates, Shae McFadden, Isaac Symes Thompson, Myles Foley, Ed Chapman, Nickolas 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>Espinosa Dice, Ankita Samaddar, Joshua Sylvester, Himanshu Neema, Nicholas Butts, Nate Foster, Ahmad Ridley, Zoe M, Paul Jones.</w:t>
            </w:r>
          </w:p>
        </w:tc>
        <w:tc>
          <w:tcPr>
            <w:tcW w:w="0" w:type="auto"/>
            <w:hideMark/>
          </w:tcPr>
          <w:p w14:paraId="296D2AB4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>Building Better Environments for Autonomous Cyber Defence.</w:t>
            </w:r>
          </w:p>
        </w:tc>
        <w:tc>
          <w:tcPr>
            <w:tcW w:w="0" w:type="auto"/>
            <w:hideMark/>
          </w:tcPr>
          <w:p w14:paraId="5C0BF9F4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Conducted a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structured online workshop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with 25 domain experts. Proposed a framework decomposing the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sim-to-real gap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(virtualisation vs. modelling) 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 xml:space="preserve">and established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best-practice guidelines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for Reinforcement Learning (RL).</w:t>
            </w:r>
          </w:p>
        </w:tc>
        <w:tc>
          <w:tcPr>
            <w:tcW w:w="0" w:type="auto"/>
            <w:hideMark/>
          </w:tcPr>
          <w:p w14:paraId="5280F92E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 xml:space="preserve">Guidelines emphasize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moving beyond fixed attacker strategies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, appropriately sizing the action space, aligning rewards without over-engineering, and measuring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 xml:space="preserve">system-level </w:t>
            </w:r>
            <w:proofErr w:type="spellStart"/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behavior</w:t>
            </w:r>
            <w:proofErr w:type="spellEnd"/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rather than just episodic rewards.</w:t>
            </w:r>
          </w:p>
        </w:tc>
        <w:tc>
          <w:tcPr>
            <w:tcW w:w="0" w:type="auto"/>
            <w:hideMark/>
          </w:tcPr>
          <w:p w14:paraId="38E436FF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 xml:space="preserve">Guidelines are largely focused on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single-agent environments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, requiring future extension to Multi-Agent RL (MARL). Sequence modelling for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 xml:space="preserve">long-horizon dependencies and asynchronous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>dynamics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remains an open challenge.</w:t>
            </w:r>
          </w:p>
        </w:tc>
      </w:tr>
      <w:tr w:rsidR="00155C6B" w:rsidRPr="00155C6B" w14:paraId="0752FA06" w14:textId="77777777" w:rsidTr="00155C6B">
        <w:tc>
          <w:tcPr>
            <w:tcW w:w="0" w:type="auto"/>
            <w:hideMark/>
          </w:tcPr>
          <w:p w14:paraId="02EA268E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Nestoras</w:t>
            </w:r>
            <w:proofErr w:type="spellEnd"/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Chouliaras, George Kittes, Ioanna Kantzavelou, Leandros Maglaras, </w:t>
            </w:r>
            <w:proofErr w:type="spellStart"/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Grammati</w:t>
            </w:r>
            <w:proofErr w:type="spellEnd"/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</w:t>
            </w:r>
            <w:proofErr w:type="spellStart"/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Pantziou</w:t>
            </w:r>
            <w:proofErr w:type="spellEnd"/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, Mohamed Amine </w:t>
            </w:r>
            <w:proofErr w:type="spellStart"/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Ferrag</w:t>
            </w:r>
            <w:proofErr w:type="spellEnd"/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BD5CEAE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Cyber Ranges and </w:t>
            </w:r>
            <w:proofErr w:type="spellStart"/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TestBeds</w:t>
            </w:r>
            <w:proofErr w:type="spellEnd"/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for Education, Training, and Research.</w:t>
            </w:r>
          </w:p>
        </w:tc>
        <w:tc>
          <w:tcPr>
            <w:tcW w:w="0" w:type="auto"/>
            <w:hideMark/>
          </w:tcPr>
          <w:p w14:paraId="0466D2CB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Conducted a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systematic survey and structured interviews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</w:t>
            </w:r>
            <w:proofErr w:type="spellStart"/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analyzing</w:t>
            </w:r>
            <w:proofErr w:type="spellEnd"/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ten representative cyber ranges out of 25 candidate platforms.</w:t>
            </w:r>
          </w:p>
        </w:tc>
        <w:tc>
          <w:tcPr>
            <w:tcW w:w="0" w:type="auto"/>
            <w:hideMark/>
          </w:tcPr>
          <w:p w14:paraId="77B1573C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Cyber ranges are predominantly utilized for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training/education (100%) and research (70%)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.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Hybrid (50%) and simulation (60%) architectures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are highly </w:t>
            </w:r>
            <w:proofErr w:type="spellStart"/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favored</w:t>
            </w:r>
            <w:proofErr w:type="spellEnd"/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. There is a high reliance on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Infrastructure as Code (</w:t>
            </w:r>
            <w:proofErr w:type="spellStart"/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IaC</w:t>
            </w:r>
            <w:proofErr w:type="spellEnd"/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) tools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(e.g., Ansible) and JSON/YAML for dynamic scenarios.</w:t>
            </w:r>
          </w:p>
        </w:tc>
        <w:tc>
          <w:tcPr>
            <w:tcW w:w="0" w:type="auto"/>
            <w:hideMark/>
          </w:tcPr>
          <w:p w14:paraId="696CA06A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Information on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military and private enterprise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platforms is limited due to confidentiality. There is no universally accepted network traffic generator, and a push is needed toward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digital twins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and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federated models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</w:p>
        </w:tc>
      </w:tr>
      <w:tr w:rsidR="00155C6B" w:rsidRPr="00155C6B" w14:paraId="00491A1B" w14:textId="77777777" w:rsidTr="00155C6B">
        <w:tc>
          <w:tcPr>
            <w:tcW w:w="0" w:type="auto"/>
            <w:hideMark/>
          </w:tcPr>
          <w:p w14:paraId="154E60CB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 xml:space="preserve">Leonardo Bitzki, Diego Kreutz, Tiago Heinrich, Douglas </w:t>
            </w:r>
            <w:proofErr w:type="spellStart"/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Fideles</w:t>
            </w:r>
            <w:proofErr w:type="spellEnd"/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, Leandro Bertholdo, Silvio Quincozes, Angelo Diniz.</w:t>
            </w:r>
          </w:p>
        </w:tc>
        <w:tc>
          <w:tcPr>
            <w:tcW w:w="0" w:type="auto"/>
            <w:hideMark/>
          </w:tcPr>
          <w:p w14:paraId="7AE41074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NetSecBed</w:t>
            </w:r>
            <w:proofErr w:type="spellEnd"/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: A Container-Native Testbed for Reproducible Cybersecurity Experimentation.</w:t>
            </w:r>
          </w:p>
        </w:tc>
        <w:tc>
          <w:tcPr>
            <w:tcW w:w="0" w:type="auto"/>
            <w:hideMark/>
          </w:tcPr>
          <w:p w14:paraId="1A5821A3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Developed </w:t>
            </w:r>
            <w:proofErr w:type="spellStart"/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NetSecBed</w:t>
            </w:r>
            <w:proofErr w:type="spellEnd"/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, a container-native testbed encapsulating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60 attack scenarios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and parameterizable targets via declarative YAML metadata for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reproducible experimental pipelines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20F287B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Decoupling scenario specification from execution ensures an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auditable evidence trail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. Evaluation of a DoS SYN Flood attack proved the framework successfully generates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quantitative, phase-aware evidence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of localized degradation and recovery.</w:t>
            </w:r>
          </w:p>
        </w:tc>
        <w:tc>
          <w:tcPr>
            <w:tcW w:w="0" w:type="auto"/>
            <w:hideMark/>
          </w:tcPr>
          <w:p w14:paraId="5A90CE59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Threat models deliberately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exclude physical infrastructure compromise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and persistence outside of containers. Susceptible to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uncontrolled hardware variables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like CPU/IO contention that may affect measurement stability.</w:t>
            </w:r>
          </w:p>
        </w:tc>
      </w:tr>
      <w:tr w:rsidR="00155C6B" w:rsidRPr="00155C6B" w14:paraId="08D0B65A" w14:textId="77777777" w:rsidTr="00155C6B">
        <w:tc>
          <w:tcPr>
            <w:tcW w:w="0" w:type="auto"/>
            <w:hideMark/>
          </w:tcPr>
          <w:p w14:paraId="0F7B3542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Ryan Holeman, John Hastings, Varghese Mathew Vaidyan.</w:t>
            </w:r>
          </w:p>
        </w:tc>
        <w:tc>
          <w:tcPr>
            <w:tcW w:w="0" w:type="auto"/>
            <w:hideMark/>
          </w:tcPr>
          <w:p w14:paraId="04B6E858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SETC: A Vulnerability Telemetry Collection Framework.</w:t>
            </w:r>
          </w:p>
        </w:tc>
        <w:tc>
          <w:tcPr>
            <w:tcW w:w="0" w:type="auto"/>
            <w:hideMark/>
          </w:tcPr>
          <w:p w14:paraId="77FC1EC3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Built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SETC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, an automated Docker-based framework utilizing JSON configurations to deploy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configurable environments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for producing vulnerability exploits and deep security telemetry.</w:t>
            </w:r>
          </w:p>
        </w:tc>
        <w:tc>
          <w:tcPr>
            <w:tcW w:w="0" w:type="auto"/>
            <w:hideMark/>
          </w:tcPr>
          <w:p w14:paraId="1E3503FA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The system successfully enabled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scalable end-to-end vulnerability testing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and data transposition into formats like CIM, OCSF, and CEF. It successfully demonstrated the capability to identify HTTP exploit signatures within 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>generated CIM logs.</w:t>
            </w:r>
          </w:p>
        </w:tc>
        <w:tc>
          <w:tcPr>
            <w:tcW w:w="0" w:type="auto"/>
            <w:hideMark/>
          </w:tcPr>
          <w:p w14:paraId="72E6517A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>Docker API limitations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restrict multi-system provisioning and sidecar capabilities to network-based only. It is currently optimized for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remote vulnerabilities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rather than local exploits, and is constrained by a lack of available vulnerable container images.</w:t>
            </w:r>
          </w:p>
        </w:tc>
      </w:tr>
      <w:tr w:rsidR="00155C6B" w:rsidRPr="00155C6B" w14:paraId="0D0069D9" w14:textId="77777777" w:rsidTr="00155C6B">
        <w:tc>
          <w:tcPr>
            <w:tcW w:w="0" w:type="auto"/>
            <w:hideMark/>
          </w:tcPr>
          <w:p w14:paraId="49F04614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Madeline Cheah, Jack Stone, Samuel Bailey, Peter Haubrick, David Rimmer, Matt Lacey, Mark Dorn.</w:t>
            </w:r>
          </w:p>
        </w:tc>
        <w:tc>
          <w:tcPr>
            <w:tcW w:w="0" w:type="auto"/>
            <w:hideMark/>
          </w:tcPr>
          <w:p w14:paraId="21BD4DA0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Towards autonomous cyber-defence: using co-operative decision making for cybersecurity.</w:t>
            </w:r>
          </w:p>
        </w:tc>
        <w:tc>
          <w:tcPr>
            <w:tcW w:w="0" w:type="auto"/>
            <w:hideMark/>
          </w:tcPr>
          <w:p w14:paraId="7657BD3A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Extended the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Co-</w:t>
            </w:r>
            <w:proofErr w:type="spellStart"/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Decyber</w:t>
            </w:r>
            <w:proofErr w:type="spellEnd"/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 xml:space="preserve"> MARL framework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using offline RL, matrix training, and curriculum learning. Tested the framework using an NGVA-compliant simulator simulating a complex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GPS divert platooning scenario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F034C90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Demonstrated that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hierarchical agents successfully cooperated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(e.g., combining an ISOLATE agent and a NAV_RESET agent) to mitigate spoofing attacks and recover a vehicle's intended course.</w:t>
            </w:r>
          </w:p>
        </w:tc>
        <w:tc>
          <w:tcPr>
            <w:tcW w:w="0" w:type="auto"/>
            <w:hideMark/>
          </w:tcPr>
          <w:p w14:paraId="5C9CF8C4" w14:textId="77777777" w:rsidR="00155C6B" w:rsidRPr="00155C6B" w:rsidRDefault="00155C6B" w:rsidP="00155C6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Agents exhibited risks of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"pre-blocking"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(isolating systems </w:t>
            </w:r>
            <w:proofErr w:type="spellStart"/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preemptively</w:t>
            </w:r>
            <w:proofErr w:type="spellEnd"/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and halting operations) which highlighted generalisation struggles. Heavily reliant on hard-coded IDS inputs with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unknown real-world false positive latencies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, and needs future integration of </w:t>
            </w:r>
            <w:r w:rsidRPr="00155C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system availability metrics</w:t>
            </w:r>
            <w:r w:rsidRPr="00155C6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</w:p>
        </w:tc>
      </w:tr>
    </w:tbl>
    <w:p w14:paraId="471AA57E" w14:textId="60CB9AAE" w:rsidR="00C8291F" w:rsidRPr="00155C6B" w:rsidRDefault="00C8291F" w:rsidP="00155C6B">
      <w:pPr>
        <w:rPr>
          <w:rFonts w:ascii="Times New Roman" w:hAnsi="Times New Roman" w:cs="Times New Roman"/>
          <w:sz w:val="36"/>
          <w:szCs w:val="36"/>
        </w:rPr>
      </w:pPr>
    </w:p>
    <w:sectPr w:rsidR="00C8291F" w:rsidRPr="00155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551"/>
    <w:rsid w:val="00081B56"/>
    <w:rsid w:val="00155C6B"/>
    <w:rsid w:val="002F148D"/>
    <w:rsid w:val="00496429"/>
    <w:rsid w:val="004A4551"/>
    <w:rsid w:val="008977A1"/>
    <w:rsid w:val="00C8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8DAB4"/>
  <w15:chartTrackingRefBased/>
  <w15:docId w15:val="{10D80D8F-4A33-4BEB-9F83-93BD59440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551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155C6B"/>
  </w:style>
  <w:style w:type="table" w:styleId="TableGrid">
    <w:name w:val="Table Grid"/>
    <w:basedOn w:val="TableNormal"/>
    <w:uiPriority w:val="39"/>
    <w:rsid w:val="00155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769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</dc:creator>
  <cp:keywords/>
  <dc:description/>
  <cp:lastModifiedBy>P K</cp:lastModifiedBy>
  <cp:revision>4</cp:revision>
  <dcterms:created xsi:type="dcterms:W3CDTF">2026-04-28T04:38:00Z</dcterms:created>
  <dcterms:modified xsi:type="dcterms:W3CDTF">2026-04-28T04:40:00Z</dcterms:modified>
</cp:coreProperties>
</file>