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center"/>
        <w:spacing w:before="0" w:after="130"/>
      </w:pPr>
      <w:r>
        <w:drawing>
          <wp:inline>
            <wp:extent cx="1188720" cy="624078"/>
            <wp:docPr id="2" name="UTM logo" descr="Technical University of Moldova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m-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320" w:lineRule="auto"/>
        <w:jc w:val="center"/>
      </w:pPr>
      <w:r>
        <w:rPr>
          <w:rFonts w:ascii="Times New Roman" w:hAnsi="Times New Roman"/>
          <w:sz w:val="23"/>
        </w:rPr>
        <w:t xml:space="preserve">MINISTRY OF EDUCATION, CULTURE AND RESEARCH</w:t>
      </w:r>
    </w:p>
    <w:p>
      <w:pPr>
        <w:spacing w:before="0" w:after="110" w:line="320" w:lineRule="auto"/>
        <w:jc w:val="center"/>
      </w:pPr>
      <w:r>
        <w:rPr>
          <w:rFonts w:ascii="Times New Roman" w:hAnsi="Times New Roman"/>
          <w:sz w:val="23"/>
        </w:rPr>
        <w:t xml:space="preserve">OF THE REPUBLIC OF MOLDOVA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3"/>
        </w:rPr>
        <w:t xml:space="preserve">Technical University of Moldova</w:t>
      </w:r>
    </w:p>
    <w:p>
      <w:pPr>
        <w:spacing w:before="0" w:after="35" w:line="320" w:lineRule="auto"/>
        <w:jc w:val="center"/>
      </w:pPr>
      <w:r>
        <w:rPr>
          <w:rFonts w:ascii="Times New Roman" w:hAnsi="Times New Roman"/>
          <w:sz w:val="22"/>
        </w:rPr>
        <w:t xml:space="preserve">Faculty of Computers, Informatics and Microelectronics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2"/>
        </w:rPr>
        <w:t xml:space="preserve">Department of Software Engineering and Automation</w:t>
      </w:r>
    </w:p>
    <w:p>
      <w:pPr>
        <w:spacing w:before="340" w:after="400" w:line="320" w:lineRule="auto"/>
        <w:jc w:val="center"/>
      </w:pPr>
      <w:r>
        <w:rPr>
          <w:rFonts w:ascii="Times New Roman" w:hAnsi="Times New Roman"/>
          <w:sz w:val="24"/>
          <w:b/>
        </w:rPr>
        <w:t xml:space="preserve">Pleșu Dinu FAF-241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40"/>
        </w:rPr>
        <w:t xml:space="preserve">Report</w:t>
      </w:r>
    </w:p>
    <w:p>
      <w:pPr>
        <w:spacing w:before="0" w:after="30" w:line="320" w:lineRule="auto"/>
        <w:jc w:val="center"/>
      </w:pPr>
      <w:r>
        <w:rPr>
          <w:rFonts w:ascii="Times New Roman" w:hAnsi="Times New Roman"/>
          <w:sz w:val="28"/>
        </w:rPr>
        <w:t xml:space="preserve">Laboratory Work No. 8</w:t>
      </w:r>
    </w:p>
    <w:p>
      <w:pPr>
        <w:spacing w:before="0" w:after="260" w:line="320" w:lineRule="auto"/>
        <w:jc w:val="center"/>
      </w:pPr>
      <w:r>
        <w:rPr>
          <w:rFonts w:ascii="Times New Roman" w:hAnsi="Times New Roman"/>
          <w:sz w:val="28"/>
          <w:b/>
        </w:rPr>
        <w:t xml:space="preserve">Operating Systems</w:t>
      </w:r>
    </w:p>
    <w:p>
      <w:pPr>
        <w:spacing w:before="0" w:after="650" w:line="320" w:lineRule="auto"/>
        <w:jc w:val="center"/>
      </w:pPr>
      <w:r>
        <w:rPr>
          <w:rFonts w:ascii="Times New Roman" w:hAnsi="Times New Roman"/>
          <w:sz w:val="24"/>
        </w:rPr>
        <w:t xml:space="preserve">Topic: A Simple Shell Runner and Process Communication</w:t>
      </w:r>
    </w:p>
    <w:p>
      <w:pPr>
        <w:spacing w:before="0" w:after="500" w:line="320" w:lineRule="auto"/>
        <w:jc w:val="center"/>
      </w:pPr>
      <w:r>
        <w:rPr>
          <w:rFonts w:ascii="Times New Roman" w:hAnsi="Times New Roman"/>
          <w:sz w:val="21"/>
        </w:rPr>
        <w:t xml:space="preserve">Checked by: Reitman Patricia, university assistant</w:t>
      </w:r>
    </w:p>
    <w:p>
      <w:pPr>
        <w:spacing w:before="0" w:after="0" w:line="320" w:lineRule="auto"/>
        <w:jc w:val="center"/>
      </w:pPr>
      <w:r>
        <w:rPr>
          <w:rFonts w:ascii="Times New Roman" w:hAnsi="Times New Roman"/>
          <w:sz w:val="23"/>
          <w:b/>
        </w:rPr>
        <w:t xml:space="preserve">Chișinău – 2026</w:t>
      </w:r>
    </w:p>
    <w:p>
      <w:pPr>
        <w:sectPr>
          <w:pgSz w:w="11906" w:h="16838"/>
          <w:pgMar w:top="1134" w:right="1134" w:bottom="1134" w:left="1134" w:header="500" w:footer="500"/>
          <w:pgNumType w:start="1"/>
          <w:footerReference w:type="default" r:id="rId5"/>
        </w:sectPr>
      </w:pPr>
      <w:r>
        <w:br w:type="page"/>
      </w:r>
    </w:p>
    <w:p>
      <w:pPr>
        <w:spacing w:before="0" w:after="220" w:line="320" w:lineRule="auto"/>
        <w:jc w:val="left"/>
      </w:pPr>
      <w:r>
        <w:rPr>
          <w:rFonts w:ascii="Times New Roman" w:hAnsi="Times New Roman"/>
          <w:sz w:val="32"/>
          <w:b/>
        </w:rPr>
        <w:t xml:space="preserve">Contents</w:t>
      </w:r>
    </w:p>
    <w:p>
      <w:pPr>
        <w:spacing w:after="13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sz w:val="20"/>
        </w:rPr>
        <w:t>1.  Purpose of the Work</w:t>
      </w:r>
    </w:p>
    <w:p>
      <w:pPr>
        <w:spacing w:after="130"/>
      </w:pPr>
      <w:r>
        <w:rPr>
          <w:sz w:val="20"/>
        </w:rPr>
        <w:t>2.  Part 1 – run</w:t>
      </w:r>
    </w:p>
    <w:p>
      <w:pPr>
        <w:spacing w:after="130"/>
      </w:pPr>
      <w:r>
        <w:rPr>
          <w:sz w:val="20"/>
        </w:rPr>
        <w:t>3.  Part 2 – pingpong</w:t>
      </w:r>
    </w:p>
    <w:p>
      <w:pPr>
        <w:spacing w:after="130"/>
      </w:pPr>
      <w:r>
        <w:rPr>
          <w:sz w:val="20"/>
        </w:rPr>
        <w:t>4.  Conclusion</w:t>
      </w:r>
      <w:r>
        <w:fldChar w:fldCharType="end"/>
      </w:r>
    </w:p>
    <w:p>
      <w:pPr>
        <w:sectPr>
          <w:pgSz w:w="11906" w:h="16838"/>
          <w:pgMar w:top="1134" w:right="1134" w:bottom="1134" w:left="1134" w:header="500" w:footer="500"/>
          <w:pgNumType w:start="2"/>
          <w:footerReference w:type="default" r:id="rId8"/>
        </w:sectPr>
      </w:pPr>
      <w:r>
        <w:br w:type="page"/>
      </w:r>
    </w:p>
    <w:p>
      <w:bookmarkStart w:id="1001" w:name="_Toc1001"/>
      <w:pPr>
        <w:pStyle w:val="Heading1"/>
        <w:jc w:val="left"/>
        <w:keepNext/>
        <w:spacing w:before="240" w:after="100" w:line="300" w:lineRule="auto"/>
      </w:pPr>
      <w:bookmarkStart w:id="2" w:name="_TocLab8_2"/>
      <w:r>
        <w:rPr>
          <w:b/>
        </w:rPr>
        <w:t xml:space="preserve">1.  Purpose of the Work</w:t>
      </w:r>
      <w:bookmarkEnd w:id="2"/>
      <w:bookmarkEnd w:id="1001"/>
    </w:p>
    <w:p>
      <w:pPr>
        <w:jc w:val="both"/>
        <w:spacing w:before="0" w:after="100" w:line="330" w:lineRule="auto"/>
      </w:pPr>
      <w:r>
        <w:t xml:space="preserve">Repeat the Lab 7 process and pipe experiments inside xv6, using its smaller system-call interface.</w:t>
      </w:r>
    </w:p>
    <w:p>
      <w:bookmarkStart w:id="1002" w:name="_Toc1002"/>
      <w:pPr>
        <w:pStyle w:val="Heading1"/>
        <w:jc w:val="left"/>
        <w:keepNext/>
        <w:spacing w:before="240" w:after="100" w:line="300" w:lineRule="auto"/>
      </w:pPr>
      <w:bookmarkStart w:id="3" w:name="_TocLab8_3"/>
      <w:r>
        <w:rPr>
          <w:b/>
        </w:rPr>
        <w:t xml:space="preserve">2.  Part 1 – run</w:t>
      </w:r>
      <w:bookmarkEnd w:id="3"/>
      <w:bookmarkEnd w:id="1002"/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run.c</w:t>
      </w:r>
      <w:r>
        <w:t xml:space="preserve"> uses </w:t>
      </w:r>
      <w:r>
        <w:rPr>
          <w:rFonts w:ascii="Courier New" w:hAnsi="Courier New"/>
          <w:sz w:val="20"/>
          <w:szCs w:val="20"/>
        </w:rPr>
        <w:t xml:space="preserve">getpid()</w:t>
      </w:r>
      <w:r>
        <w:t xml:space="preserve">, </w:t>
      </w:r>
      <w:r>
        <w:rPr>
          <w:rFonts w:ascii="Courier New" w:hAnsi="Courier New"/>
          <w:sz w:val="20"/>
          <w:szCs w:val="20"/>
        </w:rPr>
        <w:t xml:space="preserve">fork()</w:t>
      </w:r>
      <w:r>
        <w:t xml:space="preserve">, </w:t>
      </w:r>
      <w:r>
        <w:rPr>
          <w:rFonts w:ascii="Courier New" w:hAnsi="Courier New"/>
          <w:sz w:val="20"/>
          <w:szCs w:val="20"/>
        </w:rPr>
        <w:t xml:space="preserve">exec()</w:t>
      </w:r>
      <w:r>
        <w:t xml:space="preserve">, </w:t>
      </w:r>
      <w:r>
        <w:rPr>
          <w:rFonts w:ascii="Courier New" w:hAnsi="Courier New"/>
          <w:sz w:val="20"/>
          <w:szCs w:val="20"/>
        </w:rPr>
        <w:t xml:space="preserve">wait()</w:t>
      </w:r>
      <w:r>
        <w:t xml:space="preserve">, and </w:t>
      </w:r>
      <w:r>
        <w:rPr>
          <w:rFonts w:ascii="Courier New" w:hAnsi="Courier New"/>
          <w:sz w:val="20"/>
          <w:szCs w:val="20"/>
        </w:rPr>
        <w:t xml:space="preserve">exit()</w:t>
      </w:r>
      <w:r>
        <w:t xml:space="preserve">. The Linux Lab 7 version uses </w:t>
      </w:r>
      <w:r>
        <w:rPr>
          <w:rFonts w:ascii="Courier New" w:hAnsi="Courier New"/>
          <w:sz w:val="20"/>
          <w:szCs w:val="20"/>
        </w:rPr>
        <w:t xml:space="preserve">getpid()</w:t>
      </w:r>
      <w:r>
        <w:t xml:space="preserve">, </w:t>
      </w:r>
      <w:r>
        <w:rPr>
          <w:rFonts w:ascii="Courier New" w:hAnsi="Courier New"/>
          <w:sz w:val="20"/>
          <w:szCs w:val="20"/>
        </w:rPr>
        <w:t xml:space="preserve">fork()</w:t>
      </w:r>
      <w:r>
        <w:t xml:space="preserve">, </w:t>
      </w:r>
      <w:r>
        <w:rPr>
          <w:rFonts w:ascii="Courier New" w:hAnsi="Courier New"/>
          <w:sz w:val="20"/>
          <w:szCs w:val="20"/>
        </w:rPr>
        <w:t xml:space="preserve">execlp()</w:t>
      </w:r>
      <w:r>
        <w:t xml:space="preserve">, and </w:t>
      </w:r>
      <w:r>
        <w:rPr>
          <w:rFonts w:ascii="Courier New" w:hAnsi="Courier New"/>
          <w:sz w:val="20"/>
          <w:szCs w:val="20"/>
        </w:rPr>
        <w:t xml:space="preserve">waitpid()</w:t>
      </w:r>
      <w:r>
        <w:t xml:space="preserve">. The core operations match: create a child, replace its program, then wait for it. The API details differ because xv6 has its own small user library and no glibc/PATH search.</w:t>
      </w:r>
    </w:p>
    <w:p>
      <w:pPr>
        <w:jc w:val="both"/>
        <w:spacing w:before="0" w:after="100" w:line="330" w:lineRule="auto"/>
      </w:pPr>
      <w:r>
        <w:t xml:space="preserve">The text </w:t>
      </w:r>
      <w:r>
        <w:rPr>
          <w:rFonts w:ascii="Courier New" w:hAnsi="Courier New"/>
          <w:sz w:val="20"/>
          <w:szCs w:val="20"/>
        </w:rPr>
        <w:t xml:space="preserve">hello from the child</w:t>
      </w:r>
      <w:r>
        <w:t xml:space="preserve"> is printed by the </w:t>
      </w:r>
      <w:r>
        <w:rPr>
          <w:rFonts w:ascii="Courier New" w:hAnsi="Courier New"/>
          <w:sz w:val="20"/>
          <w:szCs w:val="20"/>
        </w:rPr>
        <w:t xml:space="preserve">echo</w:t>
      </w:r>
      <w:r>
        <w:t xml:space="preserve"> program after </w:t>
      </w:r>
      <w:r>
        <w:rPr>
          <w:rFonts w:ascii="Courier New" w:hAnsi="Courier New"/>
          <w:sz w:val="20"/>
          <w:szCs w:val="20"/>
        </w:rPr>
        <w:t xml:space="preserve">exec()</w:t>
      </w:r>
      <w:r>
        <w:t xml:space="preserve"> replaces the child. In the missing-program experiment, xv6's sample child explicitly calls </w:t>
      </w:r>
      <w:r>
        <w:rPr>
          <w:rFonts w:ascii="Courier New" w:hAnsi="Courier New"/>
          <w:sz w:val="20"/>
          <w:szCs w:val="20"/>
        </w:rPr>
        <w:t xml:space="preserve">exit(1)</w:t>
      </w:r>
      <w:r>
        <w:t xml:space="preserve"> after failed </w:t>
      </w:r>
      <w:r>
        <w:rPr>
          <w:rFonts w:ascii="Courier New" w:hAnsi="Courier New"/>
          <w:sz w:val="20"/>
          <w:szCs w:val="20"/>
        </w:rPr>
        <w:t xml:space="preserve">exec</w:t>
      </w:r>
      <w:r>
        <w:t xml:space="preserve">, while the Linux program calls </w:t>
      </w:r>
      <w:r>
        <w:rPr>
          <w:rFonts w:ascii="Courier New" w:hAnsi="Courier New"/>
          <w:sz w:val="20"/>
          <w:szCs w:val="20"/>
        </w:rPr>
        <w:t xml:space="preserve">exit(127)</w:t>
      </w:r>
      <w:r>
        <w:t xml:space="preserve">; the parent reports the child's chosen status.</w:t>
      </w: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20" cy="3319272"/>
            <wp:docPr id="501" name="lab8-fig1-run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-fig1-run-real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1.1 – xv6: run forks a child that execs echo and the parent reports its status</w:t>
      </w:r>
    </w:p>
    <w:p>
      <w:bookmarkStart w:id="1003" w:name="_Toc1003"/>
      <w:pPr>
        <w:pStyle w:val="Heading1"/>
        <w:jc w:val="left"/>
        <w:keepNext/>
        <w:spacing w:before="240" w:after="100" w:line="300" w:lineRule="auto"/>
      </w:pPr>
      <w:bookmarkStart w:id="4" w:name="_TocLab8_4"/>
      <w:r>
        <w:rPr>
          <w:b/>
        </w:rPr>
        <w:t xml:space="preserve">3.  Part 2 – pingpong</w:t>
      </w:r>
      <w:bookmarkEnd w:id="4"/>
      <w:bookmarkEnd w:id="1003"/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pingpong.c</w:t>
      </w:r>
      <w:r>
        <w:t xml:space="preserve"> creates two pipes because each pipe carries bytes in one direction: one parent-to-child and one child-to-parent. The parent blocks in </w:t>
      </w:r>
      <w:r>
        <w:rPr>
          <w:rFonts w:ascii="Courier New" w:hAnsi="Courier New"/>
          <w:sz w:val="20"/>
          <w:szCs w:val="20"/>
        </w:rPr>
        <w:t xml:space="preserve">read()</w:t>
      </w:r>
      <w:r>
        <w:t xml:space="preserve"> until the child writes a byte to the response pipe; </w:t>
      </w:r>
      <w:r>
        <w:rPr>
          <w:rFonts w:ascii="Courier New" w:hAnsi="Courier New"/>
          <w:sz w:val="20"/>
          <w:szCs w:val="20"/>
        </w:rPr>
        <w:t xml:space="preserve">wait()</w:t>
      </w:r>
      <w:r>
        <w:t xml:space="preserve"> then ensures the child has terminated before the parent exits. The child prints </w:t>
      </w:r>
      <w:r>
        <w:rPr>
          <w:rFonts w:ascii="Courier New" w:hAnsi="Courier New"/>
          <w:sz w:val="20"/>
          <w:szCs w:val="20"/>
        </w:rPr>
        <w:t xml:space="preserve">received ping</w:t>
      </w:r>
      <w:r>
        <w:t xml:space="preserve"> before returning the byte, so it appears before </w:t>
      </w:r>
      <w:r>
        <w:rPr>
          <w:rFonts w:ascii="Courier New" w:hAnsi="Courier New"/>
          <w:sz w:val="20"/>
          <w:szCs w:val="20"/>
        </w:rPr>
        <w:t xml:space="preserve">received pong</w:t>
      </w:r>
      <w:r>
        <w:t xml:space="preserve">.</w:t>
      </w:r>
    </w:p>
    <w:p>
      <w:pPr>
        <w:jc w:val="both"/>
        <w:spacing w:before="0" w:after="100" w:line="330" w:lineRule="auto"/>
      </w:pPr>
      <w:r>
        <w:t xml:space="preserve">Build and test in </w:t>
      </w:r>
      <w:r>
        <w:rPr>
          <w:rFonts w:ascii="Courier New" w:hAnsi="Courier New"/>
          <w:sz w:val="20"/>
          <w:szCs w:val="20"/>
        </w:rPr>
        <w:t xml:space="preserve">~/xv6-riscv</w:t>
      </w:r>
      <w:r>
        <w:t xml:space="preserve"> after adding </w:t>
      </w:r>
      <w:r>
        <w:rPr>
          <w:rFonts w:ascii="Courier New" w:hAnsi="Courier New"/>
          <w:sz w:val="20"/>
          <w:szCs w:val="20"/>
        </w:rPr>
        <w:t xml:space="preserve">$U/_run\</w:t>
      </w:r>
      <w:r>
        <w:t xml:space="preserve"> and </w:t>
      </w:r>
      <w:r>
        <w:rPr>
          <w:rFonts w:ascii="Courier New" w:hAnsi="Courier New"/>
          <w:sz w:val="20"/>
          <w:szCs w:val="20"/>
        </w:rPr>
        <w:t xml:space="preserve">$U/_pingpong\</w:t>
      </w:r>
      <w:r>
        <w:t xml:space="preserve"> to </w:t>
      </w:r>
      <w:r>
        <w:rPr>
          <w:rFonts w:ascii="Courier New" w:hAnsi="Courier New"/>
          <w:sz w:val="20"/>
          <w:szCs w:val="20"/>
        </w:rPr>
        <w:t xml:space="preserve">UPROGS</w:t>
      </w:r>
      <w:r>
        <w:t xml:space="preserve">:</w:t>
      </w:r>
    </w:p>
    <w:tbl>
      <w:tblPr>
        <w:tblW w:w="9000" w:type="dxa"/>
        <w:tblBorders>
          <w:top w:val="single" w:sz="6" w:color="777777"/>
          <w:left w:val="single" w:sz="6" w:color="777777"/>
          <w:bottom w:val="single" w:sz="6" w:color="777777"/>
          <w:right w:val="single" w:sz="6" w:color="777777"/>
        </w:tblBorders>
      </w:tblPr>
      <w:tblGrid>
        <w:gridCol w:w="9000"/>
      </w:tblGrid>
      <w:tr>
        <w:tc>
          <w:tcPr>
            <w:tcW w:w="9000" w:type="dxa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pPr>
              <w:jc w:val="left"/>
              <w:keepNext/>
              <w:spacing w:before="0" w:after="60" w:line="330" w:lineRule="auto"/>
            </w:pPr>
            <w:r>
              <w:rPr>
                <w:b/>
                <w:sz w:val="20"/>
                <w:szCs w:val="20"/>
              </w:rPr>
              <w:t xml:space="preserve">Commands / Output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$ run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parent: my pid is 3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child: my pid is 4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hello from the child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parent: child 4 ended with status 0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$ pingpong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10: received ping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9: received pong</w:t>
            </w:r>
          </w:p>
        </w:tc>
      </w:tr>
    </w:tbl>
    <w:p>
      <w:pPr>
        <w:jc w:val="both"/>
        <w:spacing w:before="0" w:after="60" w:line="200" w:lineRule="auto"/>
      </w:pP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20" cy="3319272"/>
            <wp:docPr id="502" name="lab8-fig2-pingpong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-fig2-pingpong-real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2.1 – xv6: pingpong over two pipes (ping is received before pong)</w:t>
      </w:r>
    </w:p>
    <w:p>
      <w:pPr>
        <w:jc w:val="both"/>
        <w:spacing w:before="0" w:after="100" w:line="330" w:lineRule="auto"/>
      </w:pPr>
      <w:r>
        <w:t xml:space="preserve">PIDs vary between runs. The Makefile entry is included in UPROGS.txt.</w:t>
      </w:r>
    </w:p>
    <w:p>
      <w:bookmarkStart w:id="1004" w:name="_Toc1004"/>
      <w:pPr>
        <w:pStyle w:val="Heading1"/>
        <w:jc w:val="left"/>
        <w:keepNext/>
        <w:spacing w:before="240" w:after="100" w:line="300" w:lineRule="auto"/>
      </w:pPr>
      <w:bookmarkStart w:id="5" w:name="_TocLab8_5"/>
      <w:r>
        <w:rPr>
          <w:b/>
        </w:rPr>
        <w:t xml:space="preserve">4.  Conclusion</w:t>
      </w:r>
      <w:bookmarkEnd w:id="5"/>
      <w:bookmarkEnd w:id="1004"/>
    </w:p>
    <w:p>
      <w:pPr>
        <w:jc w:val="both"/>
        <w:spacing w:before="0" w:after="100" w:line="330" w:lineRule="auto"/>
      </w:pPr>
      <w:r>
        <w:t xml:space="preserve">The same process and pipe concepts work in xv6 as on Linux, but xv6 exposes a smaller system-call interface. </w:t>
      </w:r>
      <w:r>
        <w:rPr>
          <w:rFonts w:ascii="Courier New" w:hAnsi="Courier New"/>
          <w:sz w:val="20"/>
          <w:szCs w:val="20"/>
        </w:rPr>
        <w:t xml:space="preserve">fork()</w:t>
      </w:r>
      <w:r>
        <w:t xml:space="preserve"> and </w:t>
      </w:r>
      <w:r>
        <w:rPr>
          <w:rFonts w:ascii="Courier New" w:hAnsi="Courier New"/>
          <w:sz w:val="20"/>
          <w:szCs w:val="20"/>
        </w:rPr>
        <w:t xml:space="preserve">exec()</w:t>
      </w:r>
      <w:r>
        <w:t xml:space="preserve"> separate process creation from program replacement; pipes and disciplined descriptor closing provide one-way communication, and two pipes enable a request/reply exchange.</w:t>
      </w:r>
    </w:p>
    <w:sectPr>
      <w:footerReference w:type="default" r:id="rId4"/>
      <w:pgSz w:w="11906" w:h="16838"/>
      <w:pgMar w:top="1134" w:right="1134" w:bottom="1134" w:left="1134" w:header="500" w:footer="500"/>
      <w:pgNumType w:start="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jc w:val="center"/>
    </w:pPr>
  </w:p>
</w:ftr>
</file>

<file path=word/footer3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00" w:line="330" w:lineRule="auto"/>
        <w:jc w:val="both"/>
      </w:pPr>
    </w:pPrDefault>
  </w:docDefaults>
  <w:style w:type="paragraph" w:styleId="Normal">
    <w:name w:val="Normal"/>
    <w:rPr>
      <w:rFonts w:ascii="Times New Roman" w:hAnsi="Times New Roman"/>
      <w:sz w:val="24"/>
    </w:rPr>
  </w:style>
  <w:style w:type="paragraph" w:styleId="Heading1">
    <w:name w:val="heading 1"/>
    <w:pPr>
      <w:keepNext/>
      <w:spacing w:before="260" w:after="120"/>
      <w:outlineLvl w:val="0"/>
    </w:pPr>
    <w:rPr>
      <w:rFonts w:ascii="Times New Roman" w:hAnsi="Times New Roman"/>
      <w:b/>
      <w:sz w:val="29"/>
    </w:rPr>
  </w:style>
  <w:style w:type="paragraph" w:styleId="Heading2">
    <w:name w:val="heading 2"/>
    <w:pPr>
      <w:keepNext/>
      <w:spacing w:before="170" w:after="80"/>
      <w:outlineLvl w:val="1"/>
    </w:pPr>
    <w:rPr>
      <w:rFonts w:ascii="Times New Roman" w:hAnsi="Times New Roman"/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utm-logo.jp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footer" Target="footer3.xml"/><Relationship Id="rId800" Type="http://schemas.openxmlformats.org/officeDocument/2006/relationships/image" Target="media/lab8-fig1-run-real.png"/><Relationship Id="rId801" Type="http://schemas.openxmlformats.org/officeDocument/2006/relationships/image" Target="media/lab8-fig2-pingpong-real.png"/></Relationships>
</file>