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center"/>
        <w:spacing w:before="0" w:after="130"/>
      </w:pPr>
      <w:r>
        <w:drawing>
          <wp:inline>
            <wp:extent cx="1188720" cy="624078"/>
            <wp:docPr id="2" name="UTM logo" descr="Technical University of Moldova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m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320" w:lineRule="auto"/>
        <w:jc w:val="center"/>
      </w:pPr>
      <w:r>
        <w:rPr>
          <w:rFonts w:ascii="Times New Roman" w:hAnsi="Times New Roman"/>
          <w:sz w:val="23"/>
        </w:rPr>
        <w:t xml:space="preserve">MINISTRY OF EDUCATION, CULTURE AND RESEARCH</w:t>
      </w:r>
    </w:p>
    <w:p>
      <w:pPr>
        <w:spacing w:before="0" w:after="110" w:line="320" w:lineRule="auto"/>
        <w:jc w:val="center"/>
      </w:pPr>
      <w:r>
        <w:rPr>
          <w:rFonts w:ascii="Times New Roman" w:hAnsi="Times New Roman"/>
          <w:sz w:val="23"/>
        </w:rPr>
        <w:t xml:space="preserve">OF THE REPUBLIC OF MOLDOVA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3"/>
        </w:rPr>
        <w:t xml:space="preserve">Technical University of Moldova</w:t>
      </w:r>
    </w:p>
    <w:p>
      <w:pPr>
        <w:spacing w:before="0" w:after="35" w:line="320" w:lineRule="auto"/>
        <w:jc w:val="center"/>
      </w:pPr>
      <w:r>
        <w:rPr>
          <w:rFonts w:ascii="Times New Roman" w:hAnsi="Times New Roman"/>
          <w:sz w:val="22"/>
        </w:rPr>
        <w:t xml:space="preserve">Faculty of Computers, Informatics and Microelectronics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2"/>
        </w:rPr>
        <w:t xml:space="preserve">Department of Software Engineering and Automation</w:t>
      </w:r>
    </w:p>
    <w:p>
      <w:pPr>
        <w:spacing w:before="340" w:after="400" w:line="320" w:lineRule="auto"/>
        <w:jc w:val="center"/>
      </w:pPr>
      <w:r>
        <w:rPr>
          <w:rFonts w:ascii="Times New Roman" w:hAnsi="Times New Roman"/>
          <w:sz w:val="24"/>
          <w:b/>
        </w:rPr>
        <w:t xml:space="preserve">Pleșu Dinu FAF-241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40"/>
        </w:rPr>
        <w:t xml:space="preserve">Report</w:t>
      </w:r>
    </w:p>
    <w:p>
      <w:pPr>
        <w:spacing w:before="0" w:after="30" w:line="320" w:lineRule="auto"/>
        <w:jc w:val="center"/>
      </w:pPr>
      <w:r>
        <w:rPr>
          <w:rFonts w:ascii="Times New Roman" w:hAnsi="Times New Roman"/>
          <w:sz w:val="28"/>
        </w:rPr>
        <w:t xml:space="preserve">Laboratory Work No. 7</w:t>
      </w:r>
    </w:p>
    <w:p>
      <w:pPr>
        <w:spacing w:before="0" w:after="260" w:line="320" w:lineRule="auto"/>
        <w:jc w:val="center"/>
      </w:pPr>
      <w:r>
        <w:rPr>
          <w:rFonts w:ascii="Times New Roman" w:hAnsi="Times New Roman"/>
          <w:sz w:val="28"/>
          <w:b/>
        </w:rPr>
        <w:t xml:space="preserve">Operating Systems</w:t>
      </w:r>
    </w:p>
    <w:p>
      <w:pPr>
        <w:spacing w:before="0" w:after="650" w:line="320" w:lineRule="auto"/>
        <w:jc w:val="center"/>
      </w:pPr>
      <w:r>
        <w:rPr>
          <w:rFonts w:ascii="Times New Roman" w:hAnsi="Times New Roman"/>
          <w:sz w:val="24"/>
        </w:rPr>
        <w:t xml:space="preserve">Topic: Three Small Programs: Processes, Redirection, a Pipe</w:t>
      </w:r>
    </w:p>
    <w:p>
      <w:pPr>
        <w:spacing w:before="0" w:after="500" w:line="320" w:lineRule="auto"/>
        <w:jc w:val="center"/>
      </w:pPr>
      <w:r>
        <w:rPr>
          <w:rFonts w:ascii="Times New Roman" w:hAnsi="Times New Roman"/>
          <w:sz w:val="21"/>
        </w:rPr>
        <w:t xml:space="preserve">Checked by: Reitman Patricia, university assistant</w:t>
      </w:r>
    </w:p>
    <w:p>
      <w:pPr>
        <w:spacing w:before="0" w:after="0" w:line="320" w:lineRule="auto"/>
        <w:jc w:val="center"/>
      </w:pPr>
      <w:r>
        <w:rPr>
          <w:rFonts w:ascii="Times New Roman" w:hAnsi="Times New Roman"/>
          <w:sz w:val="23"/>
          <w:b/>
        </w:rPr>
        <w:t xml:space="preserve">Chișinău – 2026</w:t>
      </w:r>
    </w:p>
    <w:p>
      <w:pPr>
        <w:sectPr>
          <w:pgSz w:w="11906" w:h="16838"/>
          <w:pgMar w:top="1134" w:right="1134" w:bottom="1134" w:left="1134" w:header="500" w:footer="500"/>
          <w:pgNumType w:start="1"/>
          <w:footerReference w:type="default" r:id="rId5"/>
        </w:sectPr>
      </w:pPr>
      <w:r>
        <w:br w:type="page"/>
      </w:r>
    </w:p>
    <w:p>
      <w:pPr>
        <w:spacing w:before="0" w:after="220" w:line="320" w:lineRule="auto"/>
        <w:jc w:val="left"/>
      </w:pPr>
      <w:r>
        <w:rPr>
          <w:rFonts w:ascii="Times New Roman" w:hAnsi="Times New Roman"/>
          <w:sz w:val="32"/>
          <w:b/>
        </w:rPr>
        <w:t xml:space="preserve">Contents</w:t>
      </w:r>
    </w:p>
    <w:p>
      <w:pPr>
        <w:spacing w:after="13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anchor="_Toc1001" w:history="1">
        <w:r>
          <w:rPr>
            <w:rStyle w:val="Hyperlink"/>
            <w:sz w:val="20"/>
          </w:rPr>
          <w:t>1.  Purpose of the Work</w:t>
        </w:r>
      </w:hyperlink>
    </w:p>
    <w:p>
      <w:pPr>
        <w:spacing w:after="130"/>
      </w:pPr>
      <w:hyperlink w:anchor="_Toc1002" w:history="1">
        <w:r>
          <w:rPr>
            <w:rStyle w:val="Hyperlink"/>
            <w:sz w:val="20"/>
          </w:rPr>
          <w:t>2.  Part 1 – fork, exec, and wait</w:t>
        </w:r>
      </w:hyperlink>
    </w:p>
    <w:p>
      <w:pPr>
        <w:spacing w:after="130"/>
      </w:pPr>
      <w:hyperlink w:anchor="_Toc1003" w:history="1">
        <w:r>
          <w:rPr>
            <w:rStyle w:val="Hyperlink"/>
            <w:sz w:val="20"/>
          </w:rPr>
          <w:t>3.  Part 2 – A zombie, on purpose</w:t>
        </w:r>
      </w:hyperlink>
    </w:p>
    <w:p>
      <w:pPr>
        <w:spacing w:after="130"/>
      </w:pPr>
      <w:hyperlink w:anchor="_Toc1004" w:history="1">
        <w:r>
          <w:rPr>
            <w:rStyle w:val="Hyperlink"/>
            <w:sz w:val="20"/>
          </w:rPr>
          <w:t>4.  Part 3 – Redirection</w:t>
        </w:r>
      </w:hyperlink>
    </w:p>
    <w:p>
      <w:pPr>
        <w:spacing w:after="130"/>
      </w:pPr>
      <w:hyperlink w:anchor="_Toc1005" w:history="1">
        <w:r>
          <w:rPr>
            <w:rStyle w:val="Hyperlink"/>
            <w:sz w:val="20"/>
          </w:rPr>
          <w:t>5.  Part 4 – A pipe</w:t>
        </w:r>
      </w:hyperlink>
    </w:p>
    <w:p>
      <w:pPr>
        <w:spacing w:after="130"/>
      </w:pPr>
      <w:hyperlink w:anchor="_Toc1006" w:history="1">
        <w:r>
          <w:rPr>
            <w:rStyle w:val="Hyperlink"/>
            <w:sz w:val="20"/>
          </w:rPr>
          <w:t>6.  Conclusion</w:t>
        </w:r>
      </w:hyperlink>
      <w:r>
        <w:fldChar w:fldCharType="end"/>
      </w:r>
    </w:p>
    <w:p>
      <w:pPr>
        <w:sectPr>
          <w:pgSz w:w="11906" w:h="16838"/>
          <w:pgMar w:top="1134" w:right="1134" w:bottom="1134" w:left="1134" w:header="500" w:footer="500"/>
          <w:pgNumType w:start="2"/>
          <w:footerReference w:type="default" r:id="rId8"/>
        </w:sectPr>
      </w:pPr>
      <w:r>
        <w:br w:type="page"/>
      </w:r>
    </w:p>
    <w:p>
      <w:bookmarkStart w:id="1001" w:name="_Toc1001"/>
      <w:pPr>
        <w:pStyle w:val="Heading1"/>
        <w:jc w:val="left"/>
        <w:keepNext/>
        <w:spacing w:before="240" w:after="100" w:line="300" w:lineRule="auto"/>
      </w:pPr>
      <w:bookmarkStart w:id="2" w:name="_TocLab7_2"/>
      <w:r>
        <w:rPr>
          <w:b/>
        </w:rPr>
        <w:t xml:space="preserve">1.  Purpose of the Work</w:t>
      </w:r>
      <w:bookmarkEnd w:id="2"/>
      <w:bookmarkEnd w:id="1001"/>
    </w:p>
    <w:p>
      <w:pPr>
        <w:jc w:val="both"/>
        <w:spacing w:before="0" w:after="100" w:line="330" w:lineRule="auto"/>
      </w:pPr>
      <w:r>
        <w:t xml:space="preserve">Write three small C programs that show how Linux creates and replaces processes, redirects file descriptors, and connects commands with a pipe.</w:t>
      </w:r>
    </w:p>
    <w:p>
      <w:bookmarkStart w:id="1002" w:name="_Toc1002"/>
      <w:pPr>
        <w:pStyle w:val="Heading1"/>
        <w:jc w:val="left"/>
        <w:keepNext/>
        <w:spacing w:before="240" w:after="100" w:line="300" w:lineRule="auto"/>
      </w:pPr>
      <w:bookmarkStart w:id="3" w:name="_TocLab7_3"/>
      <w:r>
        <w:rPr>
          <w:b/>
        </w:rPr>
        <w:t xml:space="preserve">2.  Part 1 – fork, exec, and wait</w:t>
      </w:r>
      <w:bookmarkEnd w:id="3"/>
      <w:bookmarkEnd w:id="1002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run.c</w:t>
      </w:r>
      <w:r>
        <w:t xml:space="preserve"> prints the parent's PID, forks, and has the child execute </w:t>
      </w:r>
      <w:r>
        <w:rPr>
          <w:rFonts w:ascii="Courier New" w:hAnsi="Courier New"/>
          <w:sz w:val="20"/>
          <w:szCs w:val="20"/>
        </w:rPr>
        <w:t xml:space="preserve">ls -l</w:t>
      </w:r>
      <w:r>
        <w:t xml:space="preserve">. </w:t>
      </w:r>
      <w:r>
        <w:rPr>
          <w:rFonts w:ascii="Courier New" w:hAnsi="Courier New"/>
          <w:sz w:val="20"/>
          <w:szCs w:val="20"/>
        </w:rPr>
        <w:t xml:space="preserve">execlp()</w:t>
      </w:r>
      <w:r>
        <w:t xml:space="preserve"> replaces the child process image, so the error message after it is reached only if execution fails. The child prints </w:t>
      </w:r>
      <w:r>
        <w:rPr>
          <w:rFonts w:ascii="Courier New" w:hAnsi="Courier New"/>
          <w:sz w:val="20"/>
          <w:szCs w:val="20"/>
        </w:rPr>
        <w:t xml:space="preserve">getppid()</w:t>
      </w:r>
      <w:r>
        <w:t xml:space="preserve">, which is the PID of its parent process. The parent observes status 0 when </w:t>
      </w:r>
      <w:r>
        <w:rPr>
          <w:rFonts w:ascii="Courier New" w:hAnsi="Courier New"/>
          <w:sz w:val="20"/>
          <w:szCs w:val="20"/>
        </w:rPr>
        <w:t xml:space="preserve">ls</w:t>
      </w:r>
      <w:r>
        <w:t xml:space="preserve"> exits normally and 127 when </w:t>
      </w:r>
      <w:r>
        <w:rPr>
          <w:rFonts w:ascii="Courier New" w:hAnsi="Courier New"/>
          <w:sz w:val="20"/>
          <w:szCs w:val="20"/>
        </w:rPr>
        <w:t xml:space="preserve">execlp()</w:t>
      </w:r>
      <w:r>
        <w:t xml:space="preserve"> fails and the child explicitly calls </w:t>
      </w:r>
      <w:r>
        <w:rPr>
          <w:rFonts w:ascii="Courier New" w:hAnsi="Courier New"/>
          <w:sz w:val="20"/>
          <w:szCs w:val="20"/>
        </w:rPr>
        <w:t xml:space="preserve">exit(127)</w:t>
      </w:r>
      <w:r>
        <w:t xml:space="preserve">.</w:t>
      </w:r>
    </w:p>
    <w:p>
      <w:pPr>
        <w:jc w:val="both"/>
        <w:spacing w:before="0" w:after="100" w:line="330" w:lineRule="auto"/>
      </w:pPr>
      <w:r>
        <w:t xml:space="preserve">Run:</w:t>
      </w:r>
    </w:p>
    <w:tbl>
      <w:tblPr>
        <w:tblW w:w="9000" w:type="dxa"/>
        <w:tblBorders>
          <w:top w:val="single" w:sz="6" w:color="777777"/>
          <w:left w:val="single" w:sz="6" w:color="777777"/>
          <w:bottom w:val="single" w:sz="6" w:color="777777"/>
          <w:right w:val="single" w:sz="6" w:color="777777"/>
        </w:tblBorders>
      </w:tblPr>
      <w:tblGrid>
        <w:gridCol w:w="9000"/>
      </w:tblGrid>
      <w:tr>
        <w:tc>
          <w:tcPr>
            <w:tcW w:w="9000" w:type="dxa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pPr>
              <w:jc w:val="left"/>
              <w:keepNext/>
              <w:spacing w:before="0" w:after="60" w:line="330" w:lineRule="auto"/>
            </w:pPr>
            <w:r>
              <w:rPr>
                <w:b/>
                <w:sz w:val="20"/>
                <w:szCs w:val="20"/>
              </w:rPr>
              <w:t xml:space="preserve">Commands / Output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gcc -Wall -Wextra -o run run.c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./run</w:t>
            </w:r>
          </w:p>
        </w:tc>
      </w:tr>
    </w:tbl>
    <w:p>
      <w:pPr>
        <w:jc w:val="both"/>
        <w:spacing w:before="0" w:after="60" w:line="200" w:lineRule="auto"/>
      </w:pPr>
    </w:p>
    <w:p>
      <w:pPr>
        <w:jc w:val="both"/>
        <w:spacing w:before="0" w:after="100" w:line="330" w:lineRule="auto"/>
      </w:pPr>
      <w:r>
        <w:t xml:space="preserve">The PID values and directory listing vary. When testing a missing command, replace the </w:t>
      </w:r>
      <w:r>
        <w:rPr>
          <w:rFonts w:ascii="Courier New" w:hAnsi="Courier New"/>
          <w:sz w:val="20"/>
          <w:szCs w:val="20"/>
        </w:rPr>
        <w:t xml:space="preserve">execlp("ls", ...)</w:t>
      </w:r>
      <w:r>
        <w:t xml:space="preserve"> line with </w:t>
      </w:r>
      <w:r>
        <w:rPr>
          <w:rFonts w:ascii="Courier New" w:hAnsi="Courier New"/>
          <w:sz w:val="20"/>
          <w:szCs w:val="20"/>
        </w:rPr>
        <w:t xml:space="preserve">execlp("nosuchprog", "nosuchprog", (char *)NULL)</w:t>
      </w:r>
      <w:r>
        <w:t xml:space="preserve">.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20" cy="4248668"/>
            <wp:docPr id="501" name="lab7-fig1-run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-fig1-run-real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4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1.1 – </w:t>
      </w:r>
      <w:r>
        <w:rPr>
          <w:rFonts w:ascii="Courier New" w:hAnsi="Courier New"/>
          <w:sz w:val="20"/>
          <w:szCs w:val="20"/>
        </w:rPr>
        <w:t xml:space="preserve">run</w:t>
      </w:r>
      <w:r>
        <w:t xml:space="preserve">: parent PID, child PID and parent PID, </w:t>
      </w:r>
      <w:r>
        <w:rPr>
          <w:rFonts w:ascii="Courier New" w:hAnsi="Courier New"/>
          <w:sz w:val="20"/>
          <w:szCs w:val="20"/>
        </w:rPr>
        <w:t xml:space="preserve">ls -l</w:t>
      </w:r>
      <w:r>
        <w:t xml:space="preserve"> output, and the exit status</w:t>
      </w:r>
    </w:p>
    <w:p>
      <w:bookmarkStart w:id="1003" w:name="_Toc1003"/>
      <w:pPr>
        <w:pStyle w:val="Heading1"/>
        <w:jc w:val="left"/>
        <w:keepNext/>
        <w:spacing w:before="240" w:after="100" w:line="300" w:lineRule="auto"/>
      </w:pPr>
      <w:bookmarkStart w:id="4" w:name="_TocLab7_4"/>
      <w:r>
        <w:rPr>
          <w:b/>
        </w:rPr>
        <w:t xml:space="preserve">3.  Part 2 – A zombie, on purpose</w:t>
      </w:r>
      <w:bookmarkEnd w:id="4"/>
      <w:bookmarkEnd w:id="1003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zombie.c</w:t>
      </w:r>
      <w:r>
        <w:t xml:space="preserve"> lets the child finish and delays the parent's </w:t>
      </w:r>
      <w:r>
        <w:rPr>
          <w:rFonts w:ascii="Courier New" w:hAnsi="Courier New"/>
          <w:sz w:val="20"/>
          <w:szCs w:val="20"/>
        </w:rPr>
        <w:t xml:space="preserve">waitpid()</w:t>
      </w:r>
      <w:r>
        <w:t xml:space="preserve"> by 20 seconds. During the delay, </w:t>
      </w:r>
      <w:r>
        <w:rPr>
          <w:rFonts w:ascii="Courier New" w:hAnsi="Courier New"/>
          <w:sz w:val="20"/>
          <w:szCs w:val="20"/>
        </w:rPr>
        <w:t xml:space="preserve">ps -o pid,ppid,stat,cmd</w:t>
      </w:r>
      <w:r>
        <w:t xml:space="preserve"> should show the child with </w:t>
      </w:r>
      <w:r>
        <w:rPr>
          <w:rFonts w:ascii="Courier New" w:hAnsi="Courier New"/>
          <w:sz w:val="20"/>
          <w:szCs w:val="20"/>
        </w:rPr>
        <w:t xml:space="preserve">Z</w:t>
      </w:r>
      <w:r>
        <w:t xml:space="preserve"> in the state column and </w:t>
      </w:r>
      <w:r>
        <w:rPr>
          <w:rFonts w:ascii="Courier New" w:hAnsi="Courier New"/>
          <w:sz w:val="20"/>
          <w:szCs w:val="20"/>
        </w:rPr>
        <w:t xml:space="preserve">[ls] &lt;defunct&gt;</w:t>
      </w:r>
      <w:r>
        <w:t xml:space="preserve">. The parent reaps it when </w:t>
      </w:r>
      <w:r>
        <w:rPr>
          <w:rFonts w:ascii="Courier New" w:hAnsi="Courier New"/>
          <w:sz w:val="20"/>
          <w:szCs w:val="20"/>
        </w:rPr>
        <w:t xml:space="preserve">waitpid()</w:t>
      </w:r>
      <w:r>
        <w:t xml:space="preserve"> runs; after that, the child entry disappears.</w:t>
      </w:r>
    </w:p>
    <w:tbl>
      <w:tblPr>
        <w:tblW w:w="9000" w:type="dxa"/>
        <w:tblBorders>
          <w:top w:val="single" w:sz="6" w:color="777777"/>
          <w:left w:val="single" w:sz="6" w:color="777777"/>
          <w:bottom w:val="single" w:sz="6" w:color="777777"/>
          <w:right w:val="single" w:sz="6" w:color="777777"/>
        </w:tblBorders>
      </w:tblPr>
      <w:tblGrid>
        <w:gridCol w:w="9000"/>
      </w:tblGrid>
      <w:tr>
        <w:tc>
          <w:tcPr>
            <w:tcW w:w="9000" w:type="dxa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pPr>
              <w:jc w:val="left"/>
              <w:keepNext/>
              <w:spacing w:before="0" w:after="60" w:line="330" w:lineRule="auto"/>
            </w:pPr>
            <w:r>
              <w:rPr>
                <w:b/>
                <w:sz w:val="20"/>
                <w:szCs w:val="20"/>
              </w:rPr>
              <w:t xml:space="preserve">Commands / Output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gcc -Wall -Wextra -o zombie zombie.c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./zombie &gt;/dev/null &amp;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sleep 2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ps -o pid,ppid,stat,cmd</w:t>
            </w:r>
          </w:p>
        </w:tc>
      </w:tr>
    </w:tbl>
    <w:p>
      <w:pPr>
        <w:jc w:val="both"/>
        <w:spacing w:before="0" w:after="60" w:line="200" w:lineRule="auto"/>
      </w:pP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20" cy="3009473"/>
            <wp:docPr id="502" name="lab7-fig2-zombie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-fig2-zombie-real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0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2.1 – </w:t>
      </w:r>
      <w:r>
        <w:rPr>
          <w:rFonts w:ascii="Courier New" w:hAnsi="Courier New"/>
          <w:sz w:val="20"/>
          <w:szCs w:val="20"/>
        </w:rPr>
        <w:t xml:space="preserve">zombie</w:t>
      </w:r>
      <w:r>
        <w:t xml:space="preserve">: the child is </w:t>
      </w:r>
      <w:r>
        <w:rPr>
          <w:rFonts w:ascii="Courier New" w:hAnsi="Courier New"/>
          <w:sz w:val="20"/>
          <w:szCs w:val="20"/>
        </w:rPr>
        <w:t xml:space="preserve">Z</w:t>
      </w:r>
      <w:r>
        <w:t xml:space="preserve"> (defunct) while the parent sleeps</w:t>
      </w:r>
    </w:p>
    <w:p>
      <w:bookmarkStart w:id="1004" w:name="_Toc1004"/>
      <w:pPr>
        <w:pStyle w:val="Heading1"/>
        <w:jc w:val="left"/>
        <w:keepNext/>
        <w:spacing w:before="240" w:after="100" w:line="300" w:lineRule="auto"/>
      </w:pPr>
      <w:bookmarkStart w:id="5" w:name="_TocLab7_5"/>
      <w:r>
        <w:rPr>
          <w:b/>
        </w:rPr>
        <w:t xml:space="preserve">4.  Part 3 – Redirection</w:t>
      </w:r>
      <w:bookmarkEnd w:id="5"/>
      <w:bookmarkEnd w:id="1004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redirect.c</w:t>
      </w:r>
      <w:r>
        <w:t xml:space="preserve"> closes descriptor 1 in the child before opening </w:t>
      </w:r>
      <w:r>
        <w:rPr>
          <w:rFonts w:ascii="Courier New" w:hAnsi="Courier New"/>
          <w:sz w:val="20"/>
          <w:szCs w:val="20"/>
        </w:rPr>
        <w:t xml:space="preserve">out.txt</w:t>
      </w:r>
      <w:r>
        <w:t xml:space="preserve">. </w:t>
      </w:r>
      <w:r>
        <w:rPr>
          <w:rFonts w:ascii="Courier New" w:hAnsi="Courier New"/>
          <w:sz w:val="20"/>
          <w:szCs w:val="20"/>
        </w:rPr>
        <w:t xml:space="preserve">open()</w:t>
      </w:r>
      <w:r>
        <w:t xml:space="preserve"> returns descriptor 1 because it allocates the lowest available descriptor. </w:t>
      </w:r>
      <w:r>
        <w:rPr>
          <w:rFonts w:ascii="Courier New" w:hAnsi="Courier New"/>
          <w:sz w:val="20"/>
          <w:szCs w:val="20"/>
        </w:rPr>
        <w:t xml:space="preserve">ls</w:t>
      </w:r>
      <w:r>
        <w:t xml:space="preserve"> still writes to standard output, but that descriptor now refers to </w:t>
      </w:r>
      <w:r>
        <w:rPr>
          <w:rFonts w:ascii="Courier New" w:hAnsi="Courier New"/>
          <w:sz w:val="20"/>
          <w:szCs w:val="20"/>
        </w:rPr>
        <w:t xml:space="preserve">out.txt</w:t>
      </w:r>
      <w:r>
        <w:t xml:space="preserve">, so the listing is not printed on the terminal. To redirect standard error, close descriptor 2 before </w:t>
      </w:r>
      <w:r>
        <w:rPr>
          <w:rFonts w:ascii="Courier New" w:hAnsi="Courier New"/>
          <w:sz w:val="20"/>
          <w:szCs w:val="20"/>
        </w:rPr>
        <w:t xml:space="preserve">open()</w:t>
      </w:r>
      <w:r>
        <w:t xml:space="preserve">.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20" cy="3009473"/>
            <wp:docPr id="503" name="lab7-fig3-redirect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-fig3-redirect-real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0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3.1 – </w:t>
      </w:r>
      <w:r>
        <w:rPr>
          <w:rFonts w:ascii="Courier New" w:hAnsi="Courier New"/>
          <w:sz w:val="20"/>
          <w:szCs w:val="20"/>
        </w:rPr>
        <w:t xml:space="preserve">redirect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open</w:t>
      </w:r>
      <w:r>
        <w:t xml:space="preserve"> returns descriptor 1 and the listing goes to </w:t>
      </w:r>
      <w:r>
        <w:rPr>
          <w:rFonts w:ascii="Courier New" w:hAnsi="Courier New"/>
          <w:sz w:val="20"/>
          <w:szCs w:val="20"/>
        </w:rPr>
        <w:t xml:space="preserve">out.txt</w:t>
      </w:r>
    </w:p>
    <w:p>
      <w:bookmarkStart w:id="1005" w:name="_Toc1005"/>
      <w:pPr>
        <w:pStyle w:val="Heading1"/>
        <w:jc w:val="left"/>
        <w:keepNext/>
        <w:spacing w:before="240" w:after="100" w:line="300" w:lineRule="auto"/>
      </w:pPr>
      <w:bookmarkStart w:id="6" w:name="_TocLab7_6"/>
      <w:r>
        <w:rPr>
          <w:b/>
        </w:rPr>
        <w:t xml:space="preserve">5.  Part 4 – A pipe</w:t>
      </w:r>
      <w:bookmarkEnd w:id="6"/>
      <w:bookmarkEnd w:id="1005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pipeline.c</w:t>
      </w:r>
      <w:r>
        <w:t xml:space="preserve"> connects </w:t>
      </w:r>
      <w:r>
        <w:rPr>
          <w:rFonts w:ascii="Courier New" w:hAnsi="Courier New"/>
          <w:sz w:val="20"/>
          <w:szCs w:val="20"/>
        </w:rPr>
        <w:t xml:space="preserve">ls /etc</w:t>
      </w:r>
      <w:r>
        <w:t xml:space="preserve"> to </w:t>
      </w:r>
      <w:r>
        <w:rPr>
          <w:rFonts w:ascii="Courier New" w:hAnsi="Courier New"/>
          <w:sz w:val="20"/>
          <w:szCs w:val="20"/>
        </w:rPr>
        <w:t xml:space="preserve">wc -l</w:t>
      </w:r>
      <w:r>
        <w:t xml:space="preserve">; its output should equal the shell pipeline </w:t>
      </w:r>
      <w:r>
        <w:rPr>
          <w:rFonts w:ascii="Courier New" w:hAnsi="Courier New"/>
          <w:sz w:val="20"/>
          <w:szCs w:val="20"/>
        </w:rPr>
        <w:t xml:space="preserve">ls /etc | wc -l</w:t>
      </w:r>
      <w:r>
        <w:t xml:space="preserve"> when run against the same filesystem. The parent closes both pipe ends after forking. If it mistakenly retains the write end, </w:t>
      </w:r>
      <w:r>
        <w:rPr>
          <w:rFonts w:ascii="Courier New" w:hAnsi="Courier New"/>
          <w:sz w:val="20"/>
          <w:szCs w:val="20"/>
        </w:rPr>
        <w:t xml:space="preserve">wc</w:t>
      </w:r>
      <w:r>
        <w:t xml:space="preserve"> never receives EOF. In that broken version </w:t>
      </w:r>
      <w:r>
        <w:rPr>
          <w:rFonts w:ascii="Courier New" w:hAnsi="Courier New"/>
          <w:sz w:val="20"/>
          <w:szCs w:val="20"/>
        </w:rPr>
        <w:t xml:space="preserve">wc</w:t>
      </w:r>
      <w:r>
        <w:t xml:space="preserve"> waits for more input, while </w:t>
      </w:r>
      <w:r>
        <w:rPr>
          <w:rFonts w:ascii="Courier New" w:hAnsi="Courier New"/>
          <w:sz w:val="20"/>
          <w:szCs w:val="20"/>
        </w:rPr>
        <w:t xml:space="preserve">ls</w:t>
      </w:r>
      <w:r>
        <w:t xml:space="preserve"> can exit.</w:t>
      </w:r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pipeline3.c</w:t>
      </w:r>
      <w:r>
        <w:t xml:space="preserve"> is the optional three-stage pipeline for </w:t>
      </w:r>
      <w:r>
        <w:rPr>
          <w:rFonts w:ascii="Courier New" w:hAnsi="Courier New"/>
          <w:sz w:val="20"/>
          <w:szCs w:val="20"/>
        </w:rPr>
        <w:t xml:space="preserve">ls /usr/bin | grep x | wc -l</w:t>
      </w:r>
      <w:r>
        <w:t xml:space="preserve">.</w:t>
      </w:r>
    </w:p>
    <w:p>
      <w:pPr>
        <w:jc w:val="both"/>
        <w:spacing w:before="0" w:after="100" w:line="330" w:lineRule="auto"/>
      </w:pPr>
      <w:r>
        <w:t xml:space="preserve">Compile and compare:</w:t>
      </w:r>
    </w:p>
    <w:tbl>
      <w:tblPr>
        <w:tblW w:w="9000" w:type="dxa"/>
        <w:tblBorders>
          <w:top w:val="single" w:sz="6" w:color="777777"/>
          <w:left w:val="single" w:sz="6" w:color="777777"/>
          <w:bottom w:val="single" w:sz="6" w:color="777777"/>
          <w:right w:val="single" w:sz="6" w:color="777777"/>
        </w:tblBorders>
      </w:tblPr>
      <w:tblGrid>
        <w:gridCol w:w="9000"/>
      </w:tblGrid>
      <w:tr>
        <w:tc>
          <w:tcPr>
            <w:tcW w:w="9000" w:type="dxa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pPr>
              <w:jc w:val="left"/>
              <w:keepNext/>
              <w:spacing w:before="0" w:after="60" w:line="330" w:lineRule="auto"/>
            </w:pPr>
            <w:r>
              <w:rPr>
                <w:b/>
                <w:sz w:val="20"/>
                <w:szCs w:val="20"/>
              </w:rPr>
              <w:t xml:space="preserve">Commands / Output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gcc -Wall -Wextra -o pipeline pipeline.c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./pipeline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ls /etc | wc -l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gcc -Wall -Wextra -o pipeline3 pipeline3.c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./pipeline3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ls /usr/bin | grep x | wc -l</w:t>
            </w:r>
          </w:p>
        </w:tc>
      </w:tr>
    </w:tbl>
    <w:p>
      <w:pPr>
        <w:jc w:val="both"/>
        <w:spacing w:before="0" w:after="60" w:line="200" w:lineRule="auto"/>
      </w:pP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20" cy="2699674"/>
            <wp:docPr id="504" name="lab7-fig4-pipeline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-fig4-pipeline-real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9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4.1 – </w:t>
      </w:r>
      <w:r>
        <w:rPr>
          <w:rFonts w:ascii="Courier New" w:hAnsi="Courier New"/>
          <w:sz w:val="20"/>
          <w:szCs w:val="20"/>
        </w:rPr>
        <w:t xml:space="preserve">pipeline</w:t>
      </w:r>
      <w:r>
        <w:t xml:space="preserve"> and </w:t>
      </w:r>
      <w:r>
        <w:rPr>
          <w:rFonts w:ascii="Courier New" w:hAnsi="Courier New"/>
          <w:sz w:val="20"/>
          <w:szCs w:val="20"/>
        </w:rPr>
        <w:t xml:space="preserve">pipeline3</w:t>
      </w:r>
      <w:r>
        <w:t xml:space="preserve"> match the shell pipelines (227 and 350)</w:t>
      </w:r>
    </w:p>
    <w:p>
      <w:bookmarkStart w:id="1006" w:name="_Toc1006"/>
      <w:pPr>
        <w:pStyle w:val="Heading1"/>
        <w:jc w:val="left"/>
        <w:keepNext/>
        <w:spacing w:before="240" w:after="100" w:line="300" w:lineRule="auto"/>
      </w:pPr>
      <w:bookmarkStart w:id="7" w:name="_TocLab7_7"/>
      <w:r>
        <w:rPr>
          <w:b/>
        </w:rPr>
        <w:t xml:space="preserve">6.  Conclusion</w:t>
      </w:r>
      <w:bookmarkEnd w:id="7"/>
      <w:bookmarkEnd w:id="1006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fork()</w:t>
      </w:r>
      <w:r>
        <w:t xml:space="preserve"> creates a child, </w:t>
      </w:r>
      <w:r>
        <w:rPr>
          <w:rFonts w:ascii="Courier New" w:hAnsi="Courier New"/>
          <w:sz w:val="20"/>
          <w:szCs w:val="20"/>
        </w:rPr>
        <w:t xml:space="preserve">exec()</w:t>
      </w:r>
      <w:r>
        <w:t xml:space="preserve"> replaces its program, and </w:t>
      </w:r>
      <w:r>
        <w:rPr>
          <w:rFonts w:ascii="Courier New" w:hAnsi="Courier New"/>
          <w:sz w:val="20"/>
          <w:szCs w:val="20"/>
        </w:rPr>
        <w:t xml:space="preserve">waitpid()</w:t>
      </w:r>
      <w:r>
        <w:t xml:space="preserve"> collects its exit status. File descriptors make redirection and pipes composable: the programs keep using standard input/output while the process setup changes what those descriptors refer to. Closing every unused pipe end is necessary for EOF and termination.</w:t>
      </w:r>
    </w:p>
    <w:sectPr>
      <w:footerReference w:type="default" r:id="rId4"/>
      <w:pgSz w:w="11906" w:h="16838"/>
      <w:pgMar w:top="1134" w:right="1134" w:bottom="1134" w:left="1134" w:header="500" w:footer="500"/>
      <w:pgNumType w:start="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</w:p>
</w:ftr>
</file>

<file path=word/footer3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00" w:line="330" w:lineRule="auto"/>
        <w:jc w:val="both"/>
      </w:pPr>
    </w:pPrDefault>
  </w:docDefaults>
  <w:style w:type="paragraph" w:styleId="Normal">
    <w:name w:val="Normal"/>
    <w:rPr>
      <w:rFonts w:ascii="Times New Roman" w:hAnsi="Times New Roman"/>
      <w:sz w:val="24"/>
    </w:rPr>
  </w:style>
  <w:style w:type="paragraph" w:styleId="Heading1">
    <w:name w:val="heading 1"/>
    <w:pPr>
      <w:keepNext/>
      <w:spacing w:before="260" w:after="120"/>
      <w:outlineLvl w:val="0"/>
    </w:pPr>
    <w:rPr>
      <w:rFonts w:ascii="Times New Roman" w:hAnsi="Times New Roman"/>
      <w:b/>
      <w:sz w:val="29"/>
    </w:rPr>
  </w:style>
  <w:style w:type="paragraph" w:styleId="Heading2">
    <w:name w:val="heading 2"/>
    <w:pPr>
      <w:keepNext/>
      <w:spacing w:before="170" w:after="80"/>
      <w:outlineLvl w:val="1"/>
    </w:pPr>
    <w:rPr>
      <w:rFonts w:ascii="Times New Roman" w:hAnsi="Times New Roman"/>
      <w:b/>
      <w:sz w:val="24"/>
    </w:rPr>
  </w:style>
  <w:style w:type="character" w:customStyle="1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utm-logo.jp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footer" Target="footer3.xml"/><Relationship Id="rId800" Type="http://schemas.openxmlformats.org/officeDocument/2006/relationships/image" Target="media/lab7-fig1-run-real.png"/><Relationship Id="rId801" Type="http://schemas.openxmlformats.org/officeDocument/2006/relationships/image" Target="media/lab7-fig2-zombie-real.png"/><Relationship Id="rId802" Type="http://schemas.openxmlformats.org/officeDocument/2006/relationships/image" Target="media/lab7-fig3-redirect-real.png"/><Relationship Id="rId803" Type="http://schemas.openxmlformats.org/officeDocument/2006/relationships/image" Target="media/lab7-fig4-pipeline-real.png"/></Relationships>
</file>