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NYKAA FASHION — WISHLIST DECISION SUPPORT</w:t>
      </w:r>
    </w:p>
    <w:p>
      <w:pPr>
        <w:jc w:val="center"/>
      </w:pPr>
      <w:r>
        <w:rPr>
          <w:b/>
          <w:sz w:val="30"/>
        </w:rPr>
        <w:t>Solution Prioritisation Rationale</w:t>
      </w:r>
    </w:p>
    <w:p>
      <w:pPr>
        <w:jc w:val="center"/>
      </w:pPr>
      <w:r>
        <w:rPr>
          <w:i/>
          <w:sz w:val="18"/>
        </w:rPr>
        <w:t>Supporting artifact for Slide 8</w:t>
      </w:r>
    </w:p>
    <w:p>
      <w:r>
        <w:t>Decision context: High-intent wishlist users can postpone purchase because unresolved questions around value, confidence, comparison or timing remain after saving a product. The assignment requires increasing 30-day wishlist purchases without monetary incentives.</w:t>
      </w:r>
    </w:p>
    <w:p>
      <w:r>
        <w:rPr>
          <w:b/>
          <w:sz w:val="26"/>
        </w:rPr>
        <w:t>1. Decision framework</w:t>
      </w:r>
    </w:p>
    <w:p>
      <w:r>
        <w:t>We evaluated three intervention paths against four decision criteria:</w:t>
      </w:r>
    </w:p>
    <w:p>
      <w:pPr>
        <w:pStyle w:val="ListBullet"/>
      </w:pPr>
      <w:r>
        <w:t>Root-problem fit — does the intervention address the uncertainty behind the saved decision?</w:t>
      </w:r>
    </w:p>
    <w:p>
      <w:pPr>
        <w:pStyle w:val="ListBullet"/>
      </w:pPr>
      <w:r>
        <w:t>Purchase relevance — can it plausibly move a saved item toward purchase?</w:t>
      </w:r>
    </w:p>
    <w:p>
      <w:pPr>
        <w:pStyle w:val="ListBullet"/>
      </w:pPr>
      <w:r>
        <w:t>Product controllability — can Nykaa meaningfully deliver the intervention through product experience and available information?</w:t>
      </w:r>
    </w:p>
    <w:p>
      <w:pPr>
        <w:pStyle w:val="ListBullet"/>
      </w:pPr>
      <w:r>
        <w:t>Works without monetary incentives — can it create progress without relying on discounts?</w:t>
      </w:r>
    </w:p>
    <w:p>
      <w:r>
        <w:rPr>
          <w:b/>
          <w:sz w:val="26"/>
        </w:rPr>
        <w:t>2. Alternatives considered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b/>
              </w:rPr>
              <w:t>Path</w:t>
            </w:r>
          </w:p>
        </w:tc>
        <w:tc>
          <w:tcPr>
            <w:tcW w:type="dxa" w:w="1728"/>
            <w:vAlign w:val="center"/>
          </w:tcPr>
          <w:p>
            <w:r>
              <w:rPr>
                <w:b/>
              </w:rPr>
              <w:t>Core user need</w:t>
            </w:r>
          </w:p>
        </w:tc>
        <w:tc>
          <w:tcPr>
            <w:tcW w:type="dxa" w:w="1728"/>
            <w:vAlign w:val="center"/>
          </w:tcPr>
          <w:p>
            <w:r>
              <w:rPr>
                <w:b/>
              </w:rPr>
              <w:t>Root-problem fit</w:t>
            </w:r>
          </w:p>
        </w:tc>
        <w:tc>
          <w:tcPr>
            <w:tcW w:type="dxa" w:w="1728"/>
            <w:vAlign w:val="center"/>
          </w:tcPr>
          <w:p>
            <w:r>
              <w:rPr>
                <w:b/>
              </w:rPr>
              <w:t>Purchase relevance</w:t>
            </w:r>
          </w:p>
        </w:tc>
        <w:tc>
          <w:tcPr>
            <w:tcW w:type="dxa" w:w="1728"/>
            <w:vAlign w:val="center"/>
          </w:tcPr>
          <w:p>
            <w:r>
              <w:rPr>
                <w:b/>
              </w:rPr>
              <w:t>Product controllability</w:t>
            </w:r>
          </w:p>
        </w:tc>
        <w:tc>
          <w:tcPr>
            <w:tcW w:type="dxa" w:w="1728"/>
            <w:vAlign w:val="center"/>
          </w:tcPr>
          <w:p>
            <w:r>
              <w:rPr>
                <w:b/>
              </w:rPr>
              <w:t>Key trade-off</w:t>
            </w:r>
          </w:p>
        </w:tc>
      </w:tr>
      <w:tr>
        <w:tc>
          <w:tcPr>
            <w:tcW w:type="dxa" w:w="1728"/>
          </w:tcPr>
          <w:p>
            <w:r>
              <w:t>Re-engagement</w:t>
            </w:r>
          </w:p>
        </w:tc>
        <w:tc>
          <w:tcPr>
            <w:tcW w:type="dxa" w:w="1728"/>
          </w:tcPr>
          <w:p>
            <w:r>
              <w:t>“Bring me back.”</w:t>
            </w:r>
          </w:p>
        </w:tc>
        <w:tc>
          <w:tcPr>
            <w:tcW w:type="dxa" w:w="1728"/>
          </w:tcPr>
          <w:p>
            <w:r>
              <w:t>Low</w:t>
            </w:r>
          </w:p>
        </w:tc>
        <w:tc>
          <w:tcPr>
            <w:tcW w:type="dxa" w:w="1728"/>
          </w:tcPr>
          <w:p>
            <w:r>
              <w:t>Medium</w:t>
            </w:r>
          </w:p>
        </w:tc>
        <w:tc>
          <w:tcPr>
            <w:tcW w:type="dxa" w:w="1728"/>
          </w:tcPr>
          <w:p>
            <w:r>
              <w:t>High</w:t>
            </w:r>
          </w:p>
        </w:tc>
        <w:tc>
          <w:tcPr>
            <w:tcW w:type="dxa" w:w="1728"/>
          </w:tcPr>
          <w:p>
            <w:r>
              <w:t>Can recover forgotten intent, but returning does not explain or resolve why the user hesitated.</w:t>
            </w:r>
          </w:p>
        </w:tc>
      </w:tr>
      <w:tr>
        <w:tc>
          <w:tcPr>
            <w:tcW w:type="dxa" w:w="1728"/>
          </w:tcPr>
          <w:p>
            <w:r>
              <w:t>Timing &amp; Value</w:t>
            </w:r>
          </w:p>
        </w:tc>
        <w:tc>
          <w:tcPr>
            <w:tcW w:type="dxa" w:w="1728"/>
          </w:tcPr>
          <w:p>
            <w:r>
              <w:t>“Tell me when to buy.”</w:t>
            </w:r>
          </w:p>
        </w:tc>
        <w:tc>
          <w:tcPr>
            <w:tcW w:type="dxa" w:w="1728"/>
          </w:tcPr>
          <w:p>
            <w:r>
              <w:t>Medium</w:t>
            </w:r>
          </w:p>
        </w:tc>
        <w:tc>
          <w:tcPr>
            <w:tcW w:type="dxa" w:w="1728"/>
          </w:tcPr>
          <w:p>
            <w:r>
              <w:t>High</w:t>
            </w:r>
          </w:p>
        </w:tc>
        <w:tc>
          <w:tcPr>
            <w:tcW w:type="dxa" w:w="1728"/>
          </w:tcPr>
          <w:p>
            <w:r>
              <w:t>High</w:t>
            </w:r>
          </w:p>
        </w:tc>
        <w:tc>
          <w:tcPr>
            <w:tcW w:type="dxa" w:w="1728"/>
          </w:tcPr>
          <w:p>
            <w:r>
              <w:t>Strong for price/stock-driven hesitation, but does not cover confidence, fit, quality or comparison.</w:t>
            </w:r>
          </w:p>
        </w:tc>
      </w:tr>
      <w:tr>
        <w:tc>
          <w:tcPr>
            <w:tcW w:type="dxa" w:w="1728"/>
          </w:tcPr>
          <w:p>
            <w:r>
              <w:t>Wishlist Decision Support</w:t>
            </w:r>
          </w:p>
        </w:tc>
        <w:tc>
          <w:tcPr>
            <w:tcW w:type="dxa" w:w="1728"/>
          </w:tcPr>
          <w:p>
            <w:r>
              <w:t>“Help me decide.”</w:t>
            </w:r>
          </w:p>
        </w:tc>
        <w:tc>
          <w:tcPr>
            <w:tcW w:type="dxa" w:w="1728"/>
          </w:tcPr>
          <w:p>
            <w:r>
              <w:t>High</w:t>
            </w:r>
          </w:p>
        </w:tc>
        <w:tc>
          <w:tcPr>
            <w:tcW w:type="dxa" w:w="1728"/>
          </w:tcPr>
          <w:p>
            <w:r>
              <w:t>High</w:t>
            </w:r>
          </w:p>
        </w:tc>
        <w:tc>
          <w:tcPr>
            <w:tcW w:type="dxa" w:w="1728"/>
          </w:tcPr>
          <w:p>
            <w:r>
              <w:t>High</w:t>
            </w:r>
          </w:p>
        </w:tc>
        <w:tc>
          <w:tcPr>
            <w:tcW w:type="dxa" w:w="1728"/>
          </w:tcPr>
          <w:p>
            <w:r>
              <w:t>Directly addresses the unresolved decision; requires trustworthy, product-relevant evidence.</w:t>
            </w:r>
          </w:p>
        </w:tc>
      </w:tr>
    </w:tbl>
    <w:p>
      <w:r>
        <w:rPr>
          <w:b/>
          <w:sz w:val="26"/>
        </w:rPr>
        <w:t>3. Evidence behind the choice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Theme</w:t>
            </w:r>
          </w:p>
        </w:tc>
        <w:tc>
          <w:tcPr>
            <w:tcW w:type="dxa" w:w="2074"/>
          </w:tcPr>
          <w:p>
            <w:r>
              <w:rPr>
                <w:b/>
              </w:rPr>
              <w:t>Evidence</w:t>
            </w:r>
          </w:p>
        </w:tc>
        <w:tc>
          <w:tcPr>
            <w:tcW w:type="dxa" w:w="2074"/>
          </w:tcPr>
          <w:p>
            <w:r>
              <w:rPr>
                <w:b/>
              </w:rPr>
              <w:t>Signal</w:t>
            </w:r>
          </w:p>
        </w:tc>
        <w:tc>
          <w:tcPr>
            <w:tcW w:type="dxa" w:w="2074"/>
          </w:tcPr>
          <w:p>
            <w:r>
              <w:rPr>
                <w:b/>
              </w:rPr>
              <w:t>Evidence</w:t>
            </w:r>
          </w:p>
        </w:tc>
        <w:tc>
          <w:tcPr>
            <w:tcW w:type="dxa" w:w="2074"/>
          </w:tcPr>
          <w:p>
            <w:r>
              <w:rPr>
                <w:b/>
              </w:rPr>
              <w:t>Signal</w:t>
            </w:r>
          </w:p>
        </w:tc>
      </w:tr>
      <w:tr>
        <w:tc>
          <w:tcPr>
            <w:tcW w:type="dxa" w:w="2074"/>
          </w:tcPr>
          <w:p>
            <w:r>
              <w:t>Value / timing</w:t>
            </w:r>
          </w:p>
        </w:tc>
        <w:tc>
          <w:tcPr>
            <w:tcW w:type="dxa" w:w="2074"/>
          </w:tcPr>
          <w:p>
            <w:r>
              <w:t>13/20</w:t>
            </w:r>
          </w:p>
        </w:tc>
        <w:tc>
          <w:tcPr>
            <w:tcW w:type="dxa" w:w="2074"/>
          </w:tcPr>
          <w:p>
            <w:r>
              <w:t>wait for discount</w:t>
            </w:r>
          </w:p>
        </w:tc>
        <w:tc>
          <w:tcPr>
            <w:tcW w:type="dxa" w:w="2074"/>
          </w:tcPr>
          <w:p>
            <w:r>
              <w:t>14/20</w:t>
            </w:r>
          </w:p>
        </w:tc>
        <w:tc>
          <w:tcPr>
            <w:tcW w:type="dxa" w:w="2074"/>
          </w:tcPr>
          <w:p>
            <w:r>
              <w:t>price drop as a purchase trigger</w:t>
            </w:r>
          </w:p>
        </w:tc>
      </w:tr>
      <w:tr>
        <w:tc>
          <w:tcPr>
            <w:tcW w:type="dxa" w:w="2074"/>
          </w:tcPr>
          <w:p>
            <w:r>
              <w:t>Comparison</w:t>
            </w:r>
          </w:p>
        </w:tc>
        <w:tc>
          <w:tcPr>
            <w:tcW w:type="dxa" w:w="2074"/>
          </w:tcPr>
          <w:p>
            <w:r>
              <w:t>10/20</w:t>
            </w:r>
          </w:p>
        </w:tc>
        <w:tc>
          <w:tcPr>
            <w:tcW w:type="dxa" w:w="2074"/>
          </w:tcPr>
          <w:p>
            <w:r>
              <w:t>better product elsewhere</w:t>
            </w:r>
          </w:p>
        </w:tc>
        <w:tc>
          <w:tcPr>
            <w:tcW w:type="dxa" w:w="2074"/>
          </w:tcPr>
          <w:p>
            <w:r>
              <w:t>6/20</w:t>
            </w:r>
          </w:p>
        </w:tc>
        <w:tc>
          <w:tcPr>
            <w:tcW w:type="dxa" w:w="2074"/>
          </w:tcPr>
          <w:p>
            <w:r>
              <w:t>compare alternatives</w:t>
            </w:r>
          </w:p>
        </w:tc>
      </w:tr>
      <w:tr>
        <w:tc>
          <w:tcPr>
            <w:tcW w:type="dxa" w:w="2074"/>
          </w:tcPr>
          <w:p>
            <w:r>
              <w:t>Confidence</w:t>
            </w:r>
          </w:p>
        </w:tc>
        <w:tc>
          <w:tcPr>
            <w:tcW w:type="dxa" w:w="2074"/>
          </w:tcPr>
          <w:p>
            <w:r>
              <w:t>6/20</w:t>
            </w:r>
          </w:p>
        </w:tc>
        <w:tc>
          <w:tcPr>
            <w:tcW w:type="dxa" w:w="2074"/>
          </w:tcPr>
          <w:p>
            <w:r>
              <w:t>quality concerns</w:t>
            </w:r>
          </w:p>
        </w:tc>
        <w:tc>
          <w:tcPr>
            <w:tcW w:type="dxa" w:w="2074"/>
          </w:tcPr>
          <w:p>
            <w:r>
              <w:t>4/20</w:t>
            </w:r>
          </w:p>
        </w:tc>
        <w:tc>
          <w:tcPr>
            <w:tcW w:type="dxa" w:w="2074"/>
          </w:tcPr>
          <w:p>
            <w:r>
              <w:t>size/fit uncertainty</w:t>
            </w:r>
          </w:p>
        </w:tc>
      </w:tr>
      <w:tr>
        <w:tc>
          <w:tcPr>
            <w:tcW w:type="dxa" w:w="2074"/>
          </w:tcPr>
          <w:p>
            <w:r>
              <w:t>Wishlist outcomes</w:t>
            </w:r>
          </w:p>
        </w:tc>
        <w:tc>
          <w:tcPr>
            <w:tcW w:type="dxa" w:w="2074"/>
          </w:tcPr>
          <w:p>
            <w:r>
              <w:t>5/20</w:t>
            </w:r>
          </w:p>
        </w:tc>
        <w:tc>
          <w:tcPr>
            <w:tcW w:type="dxa" w:w="2074"/>
          </w:tcPr>
          <w:p>
            <w:r>
              <w:t>still considering</w:t>
            </w:r>
          </w:p>
        </w:tc>
        <w:tc>
          <w:tcPr>
            <w:tcW w:type="dxa" w:w="2074"/>
          </w:tcPr>
          <w:p>
            <w:r>
              <w:t>4/20</w:t>
            </w:r>
          </w:p>
        </w:tc>
        <w:tc>
          <w:tcPr>
            <w:tcW w:type="dxa" w:w="2074"/>
          </w:tcPr>
          <w:p>
            <w:r>
              <w:t>don't remember</w:t>
            </w:r>
          </w:p>
        </w:tc>
      </w:tr>
    </w:tbl>
    <w:p>
      <w:r>
        <w:t>Interpretation: these are overlapping respondent mentions, not mutually exclusive segments. The evidence supports multiple purchase barriers and triggers; it does not prove that one is the largest segment.</w:t>
      </w:r>
    </w:p>
    <w:p>
      <w:r>
        <w:rPr>
          <w:b/>
          <w:sz w:val="26"/>
        </w:rPr>
        <w:t>4. Why Decision Support is selected</w:t>
      </w:r>
    </w:p>
    <w:p>
      <w:pPr>
        <w:pStyle w:val="ListBullet"/>
      </w:pPr>
      <w:r>
        <w:t>It targets the decision gap that appears after a product is already saved.</w:t>
      </w:r>
    </w:p>
    <w:p>
      <w:pPr>
        <w:pStyle w:val="ListBullet"/>
      </w:pPr>
      <w:r>
        <w:t>It can address more than one uncertainty type: confidence, comparison, and timing/value context.</w:t>
      </w:r>
    </w:p>
    <w:p>
      <w:pPr>
        <w:pStyle w:val="ListBullet"/>
      </w:pPr>
      <w:r>
        <w:t>It is compatible with the no-monetary-incentive constraint.</w:t>
      </w:r>
    </w:p>
    <w:p>
      <w:pPr>
        <w:pStyle w:val="ListBullet"/>
      </w:pPr>
      <w:r>
        <w:t>It creates a product-level intervention rather than relying only on generic reminders.</w:t>
      </w:r>
    </w:p>
    <w:p>
      <w:pPr>
        <w:pStyle w:val="ListBullet"/>
      </w:pPr>
      <w:r>
        <w:t>It can use product-linked evidence such as reviews, product information, fit/size information, price and availability context.</w:t>
      </w:r>
    </w:p>
    <w:p>
      <w:r>
        <w:rPr>
          <w:b/>
        </w:rPr>
        <w:t xml:space="preserve">Selected direction: </w:t>
      </w:r>
      <w:r>
        <w:t>Wishlist Decision Support — help high-intent wishlist users resolve the uncertainty behind a saved product before committing.</w:t>
      </w:r>
    </w:p>
    <w:p>
      <w:r>
        <w:rPr>
          <w:b/>
          <w:sz w:val="26"/>
        </w:rPr>
        <w:t>5. What we deliberately did not choose</w:t>
      </w:r>
    </w:p>
    <w:p>
      <w:r>
        <w:rPr>
          <w:b/>
        </w:rPr>
        <w:t xml:space="preserve">Discount-first — </w:t>
      </w:r>
      <w:r>
        <w:t>Strong purchase trigger in the survey, but monetary incentives are explicitly excluded by the assignment and may reinforce waiting behaviour.</w:t>
      </w:r>
    </w:p>
    <w:p>
      <w:r>
        <w:rPr>
          <w:b/>
        </w:rPr>
        <w:t xml:space="preserve">Generic reminders — </w:t>
      </w:r>
      <w:r>
        <w:t>Useful for forgotten intent, but a reminder alone does not resolve the underlying reason for hesitation.</w:t>
      </w:r>
    </w:p>
    <w:p>
      <w:r>
        <w:rPr>
          <w:b/>
        </w:rPr>
        <w:t xml:space="preserve">Comparison-only — </w:t>
      </w:r>
      <w:r>
        <w:t>Relevant to comparison behaviour, but can increase browsing without necessarily increasing commitment.</w:t>
      </w:r>
    </w:p>
    <w:p>
      <w:r>
        <w:rPr>
          <w:b/>
          <w:sz w:val="26"/>
        </w:rPr>
        <w:t>6. Target and hypothesis</w:t>
      </w:r>
    </w:p>
    <w:p>
      <w:r>
        <w:t>Target: High-intent wishlist users who like a saved product but postpone purchase because they need more confidence before committing.</w:t>
      </w:r>
    </w:p>
    <w:p>
      <w:r>
        <w:t>Hypothesis: If we help users resolve their purchase uncertainty, more saved-item intent should progress toward purchase within 30 days.</w:t>
      </w:r>
    </w:p>
    <w:p>
      <w:r>
        <w:rPr>
          <w:b/>
          <w:sz w:val="26"/>
        </w:rPr>
        <w:t>7. Source &amp; evidence notes</w:t>
      </w:r>
    </w:p>
    <w:p>
      <w:r>
        <w:t>Primary research: Fashion shopping &amp; wishlist survey, n=20. Barrier and trigger counts are respondent mentions and overlap. Wishlist outcome counts refer to the respondent's latest wishlisted item and are not a measured 30-day conversion rate.</w:t>
      </w:r>
    </w:p>
    <w:p>
      <w:r>
        <w:t>Detailed AI-discovery evidence and human-adjudication records are maintained in the project's Discovery Engine and supporting research artifacts. The prioritisation ratings above are PM assessments based on the research evidence and assignment constraints, not measured experiment results.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