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Parameters for Maximum Angle of Inclination in TWSBR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Center of Gravity (CoG): The position of the CoG is crucial for stability. A higher CoG can reduce stability, leading to a lower maximum angle of inclination.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Wheel Base Width: The distance between the two wheels affects the robot's stability and its ability to recover from an inclined position.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Inertia and Mass Distribution: The distribution of mass and the moment of inertia affect how the robot responds to tilting forces.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Sensor Precision: Accuracy of gyroscopes and accelerometers in detecting tilt and motion.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Motor Torque and Response Time: The capability of motors to correct the inclination quickly.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Surface Friction: The friction between the wheels and the ground which influences traction.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Control Algorithms: The effectiveness of the PID (Proportional-Integral-Derivative) or other advanced control algorithms in stabilizing the robot.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Battery Weight and Placement: The battery’s weight and its position can impact the balance and inclination angle.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External Forces: Environmental factors like wind, slope of the terrain, and load variations.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Core Concept of TWSBR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core concept of TWSBR revolves around maintaining dynamic stability using real-time feedback from sensors and actuators. This involves: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Gyroscope and Accelerometer Data: Collecting data about the robot’s orientation and motion.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Control Systems: Implementing control algorithms (such as PID control) to process sensor data and adjust motor outputs to keep the robot upright.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Actuation: Using motors to drive the wheels and correct any deviation from the vertical position.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Feedback Loop: Continuously adjusting the robot’s position through a closed-loop feedback system to maintain balance.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Additional Component to Make TWSBR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Adding a Vision System with AI Capabilities: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Proof of Concept: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Component: A camera system integrated with an AI processor (such as NVIDIA Jetson Nano) for real-time image processing and object detection.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Functionality: This system can identify obstacles, recognize paths, and interact with the environment intelligently.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Application: Using AI, the robot can navigate more complex environments autonomously, avoiding obstacles and finding optimal paths.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Hardware: Camera module, AI processor, power supply.Software: Computer vision algorithms (using OpenCV), machine learning models (using TensorFlow or PyTorch) for object detection and path planning.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Benefit: Enhances autonomous navigation capabilities, making the robot more versatile in different applications like delivery services in dynamic environments.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