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BFSI (Banking, Financial Services &amp; Insurance)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Hero Section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BFSI Signal. Credibility Before Capital.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Subheadline (Subsectors):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Banking, Payments, Lending, WealthTech, InsurTech, and more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One-line Thesis: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 financial services, movement isn’t about tech — it’s about credibility. Signal earns trust from regulators, partners, and markets before scale.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Industry Metrics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$20T+ global financial services industry — credibility decides entry and growth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18–24 months — typical institutional adoption cycles without signal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3–4x faster partner onboarding — when narrative aligns with regulatory and risk posture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60%+ of fintechs stall at Series B — because belief doesn’t keep up with numbers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Metrics are directional; specifics provided in-session.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Conundrum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Compliance ≠ conviction: Regulatory licenses don’t guarantee trust. Partners and investors still need belief in governance and durability.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Hype vs. risk: Startups over-index on innovation; incumbents and regulators over-index on risk. Signal must balance both.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Unit economics ignored: Many fintechs push user growth without signaling sustainable value or profitability.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Trust is fragile: One misstep, missed communication, or regulatory hiccup can derail credibility permanently.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What We See Most Often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Fintech decks heavy on users, light on governance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WealthTech positioned as product, not fiduciary trust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Payment stories focusing on speed, not compliance safety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Investors unconvinced about risk-adjusted growth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Our Signal Approach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1) Diagnose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Audit trust signals — compliance, governance, partnerships, and narratives. Identify leaks between growth metrics and institutional belief.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2) Architect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Rebuild the core story around credibility, risk posture, and sustainability. Align messaging with regulators, investors, and institutional partners.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3) Activate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Sequence capital signals, partnership frameworks, and buyer trust-building motions that reduce friction and amplify confidence.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Services for BFSI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Signal Architecture → Translate compliance into credibility.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Fund Raising → Capital closes only when investors see risk managed.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GTM &amp; Funnels → Enterprise adoption playbooks, partner funnels, and trust-driven channels.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Strategy Consulting → High-stakes guidance on regulations, partnerships, and institutional scaling.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Founders Say (Redacted)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“We had licenses, but no one believed us. Instaura turned governance into a growth story.” — Founder, Payments Startup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“Investors worried about risk. Reframed as resilience, we closed our Series B.” — CEO, WealthTech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“They built a partner pitch that made compliance our advantage. Banks started calling back.” — Co-Founder, InsurTech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Explore Success Stories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See how Signal changed outcomes in BFSI: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Payments venture → rebuilt as compliance-first, closed major bank partnership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WealthTech → reframed growth story, raised from Family Offices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InsurTech → repositioned for resilience, unlocked regulator support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Conclusion Block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Every financial move begins with Signal.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Technology doesn’t win trust. Signal does.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👉 Talk to Yas or Book a Signal Call to unlock your BFSI Signal.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