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Case Study #1: From “Tool” to “Standard” — The SaaS Reframe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Sector: Technology (Enterprise SaaS)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Service: Signal Architecture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Stage: Pre-Scale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Region: India (redacted)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Ticket Size: N/A (architecture mandate, not raise)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SaaS company had strong adoption in mid-market accounts but couldn’t break into enterprise. Their product was treated as a “useful tool,” not a “market standard.” Despite decent traction, investor interest and enterprise customers alike remained lukewarm. The founder’s frustration: “Everyone likes it. No one bets on it.”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Without reframing from tool to standard, the company risked: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Stagnating as a mid-market vendor.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Losing credibility for enterprise adoption.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Leaking investor confidence at the next round.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wasn’t just about sales — it was existential.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We rebuilt their Signal Architecture around inevitability: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Signal Diagnostic: Identified why the market saw them as a utility vs. a platform.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Narrative Core: Reframed positioning: from “tool for efficiency” → “infrastructure standard.”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Signal Design: Designed proof artifacts (enterprise pilots, customer logos, integrations) as inevitability anchors.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Market Calibration: Shifted messaging and investor decks to open with “enterprise inevitability” signals, not features.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Enterprise pilot acceptance: +4 Fortune 500s in 90 days.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Investor response: 3 unsolicited inbound term sheet discussions.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Founder morale: Anchored belief → hiring confidence surged.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Within 4 months, the company was no longer introduced as a “SaaS tool” — it was referred to by customers and investors alike as an “emerging category standard.” That shift unlocked growth corridors that had been invisible before.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&gt; “We didn’t change the product. We changed the signal. Suddenly, enterprise customers treated us like the standard — not an option.”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White Paper #1: Pricing as Signal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White Paper #16: Signal vs. Story — Why Belief Beats Performance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Clarity Series #6: The Founder’s Blindspot in GTM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Want to know if your market sees you as a tool — or a standard? Architect your signal.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