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#12: Market Access Strategy as Signal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Healthcare &amp; Pharma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Strategy Consulting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B Growth Phase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India &amp; Southeast Asia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Mandate: Fractional Strategy Engagement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mid-stage healthcare company had achieved product-market fit with a diagnostics platform but was struggling with market access. Multiple geographies required different regulatory clearances, payer alignments, and distribution partnerships. The founder was constantly firefighting — shifting from regulatory hurdles to pricing battles to investor updates. The result: no coherent growth story.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confessed: “We were chasing approvals and partners, but we weren’t sending a clear signal of inevitability to the market.”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Investors began to worry about scalability beyond one geography.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Without a cohesive strategy, teams worked in silos and diluted execution velocity.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Global competitors with weaker products but sharper market access strategies were pulling ahead.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built a Signal-Led Market Access Strategy under a fractional strategist model: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Diagnostic: Identified that fragmented execution was leaking credibility.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Strategic Sprint: Prioritized 3 access milestones (regulatory clearance, payer partnership, distributor alignment).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Narrative Reset: Reframed external communications to lead with inevitability signals — “approved, reimbursable, and distributable.”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Team Alignment: Installed a quarterly signal sprint framework with clear ownership across regulatory, sales, and partnerships.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Regulatory Clearances: Achieved 2 new country approvals in 6 months.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Payer Partnerships: Secured a major insurance provider, unlocking 40% faster adoption.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Investor Outcome: Follow-on funding interest rose with a valuation uplift of ~30%.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Team Alignment: Reduced duplication of efforts, improving execution velocity.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company’s market access narrative transformed from “piecemeal execution” to “inevitable multi-market expansion.” Investors, partners, and customers aligned behind the new clarity, and the company entered its Series B raise with confidence.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“We had the product. We had the approvals. But no one believed the story. Instaura gave us clarity — suddenly, the market saw inevitability.”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#17: When Storytelling Becomes Noise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Clarity Series #4: The Signal Sprint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Your strategy isn’t just operations. It’s a signal. Architect it before you scale.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