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#13: From Lab to Legibility — The AI Signal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DeepTech &amp; AI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Signal Architecture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Pre-Revenue, Pre-Seed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USA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Ticket Size: N/A (architecture mandate, not raise)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DeepTech AI company had groundbreaking research and patents but zero commercial traction. Every investor call ended with the same reaction: “Impressive tech, but too early.”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problem wasn’t the science. It was the signal gap: outsiders couldn’t decode the inevitability of the technology.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founder admitted: “We thought our science spoke for itself. It didn’t.”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Without a strong market-facing signal, the startup risked dying in the lab.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Investors needed legibility, not jargon.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Top-tier talent refused to join because the company looked like “research, not a venture.”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 reframed the company’s Signal Architecture around inevitability: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Signal Diagnostic: Identified the barrier — the story was “PhD papers,” not market proof.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Narrative Core: Repositioned from research project → inevitable platform.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Proof Artifact Design: Created market-facing briefs connecting patents → real-world applications.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Market Calibration: Crafted decks and primers investors could retell without technical dilution.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Investor Inbound: From 0 → 5 active discussions within 90 days.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Talent Pull: Secured 2 senior engineers from tier-1 AI labs.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Perception Shift: Market began referencing them as “the team building the next infrastructure layer,” not “academic AI.”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startup bridged the credibility gap. Within 6 months, they transitioned from “lab-stage research” to “frontier inevitability.” This opened pathways to both capital and talent.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&gt; “Our work hadn’t changed. Only our signal had. Suddenly, everyone could see inevitability.”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White Paper #16: Signal vs. Story — Why Belief Beats Performance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White Paper #18: Why More Data Creates More Confusion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Clarity Series #11: Why DeepTech Dies in the Lab Without Signal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Your science may be groundbreaking, but without signal it stays invisible. Architect it to move markets.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