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#14: Pre-Product, Proof-Led $4M Seed Raise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DeepTech &amp;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Fund Raising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Seed (Pre-Revenue, Infrastructure Build Stage)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USA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USD 4M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AI company had deep technical talent and patents but no live product or revenue. Every investor pushed back: “Come back after you build.”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founders faced the classic DeepTech trap — without capital, they couldn’t build infrastructure; without infrastructure, they couldn’t raise capital.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Capital was required for infrastructure build and early pilots.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Without funding, the company risked competitors overtaking them in visibility.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Investors perceived “pre-product” as “too early,” despite strong technical IP.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architected a Signal-first Capital Raise strategy: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Capital Signal Diagnostic: Identified proof points already available — patents, pilot MOUs, academic partnerships.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Narrative Core: Reframed pitch: “This isn’t early research. This is inevitable infrastructure.”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Investor Kit: Designed decks and briefs where proof artifacts (MOU + pilot commitments) were the lead slide, not buried.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Negotiation Advisory: Repositioned investor conversation from “fund risky build” → “fund inevitable trajectory.”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Investor Conversion: 9 term sheet discussions → 3 active negotiations.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Valuation: Closed USD 4M at higher-than-expected valuation for pre-revenue stage.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Timeline: Round closed in 80 days.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Strategic Capital: Brought in 2 investors with domain expertise, amplifying credibility.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company raised USD 4M pre-product, breaking the deadlock. Capital was not seen as risky funding — it was read as an inevitability signal for infrastructure build.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“We thought no one would fund us before product. Instaura showed us how to turn proof into inevitability. That’s what closed the round.”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White Paper #10: The Cost of Wrong Capital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White Paper #20: Capital as Signal, Not Commodity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Clarity Series #19: Why VCs Struggle with Deal Flow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Even pre-product, capital is possible — if your proof transmits inevitability. Architect the capital signal.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