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#15: Pilot-First GTM That Collapsed Enterprise Cycles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DeepTech &amp; AI</w:t>
      </w:r>
    </w:p>
    <w:p w:rsidR="00000000" w:rsidDel="00000000" w:rsidP="00000000" w:rsidRDefault="00000000" w:rsidRPr="00000000" w14:paraId="00000004">
      <w:pPr>
        <w:rPr/>
      </w:pPr>
      <w:r w:rsidDel="00000000" w:rsidR="00000000" w:rsidRPr="00000000">
        <w:rPr>
          <w:rtl w:val="0"/>
        </w:rPr>
        <w:t xml:space="preserve">Service: GTM &amp; Funnels</w:t>
      </w:r>
    </w:p>
    <w:p w:rsidR="00000000" w:rsidDel="00000000" w:rsidP="00000000" w:rsidRDefault="00000000" w:rsidRPr="00000000" w14:paraId="00000005">
      <w:pPr>
        <w:rPr/>
      </w:pPr>
      <w:r w:rsidDel="00000000" w:rsidR="00000000" w:rsidRPr="00000000">
        <w:rPr>
          <w:rtl w:val="0"/>
        </w:rPr>
        <w:t xml:space="preserve">Stage: Seed → Series A Transition</w:t>
      </w:r>
    </w:p>
    <w:p w:rsidR="00000000" w:rsidDel="00000000" w:rsidP="00000000" w:rsidRDefault="00000000" w:rsidRPr="00000000" w14:paraId="00000006">
      <w:pPr>
        <w:rPr/>
      </w:pPr>
      <w:r w:rsidDel="00000000" w:rsidR="00000000" w:rsidRPr="00000000">
        <w:rPr>
          <w:rtl w:val="0"/>
        </w:rPr>
        <w:t xml:space="preserve">Region: Europe (redacted)</w:t>
      </w:r>
    </w:p>
    <w:p w:rsidR="00000000" w:rsidDel="00000000" w:rsidP="00000000" w:rsidRDefault="00000000" w:rsidRPr="00000000" w14:paraId="00000007">
      <w:pPr>
        <w:rPr/>
      </w:pPr>
      <w:r w:rsidDel="00000000" w:rsidR="00000000" w:rsidRPr="00000000">
        <w:rPr>
          <w:rtl w:val="0"/>
        </w:rPr>
        <w:t xml:space="preserve">Ticket Size: N/A (execution mandate, not raise)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DeepTech startup had developed a breakthrough AI-driven hardware platform. The challenge: enterprise customers were unwilling to commit to long, expensive deployments without proof. Traditional GTM motions dragged on, with sales cycles exceeding 12–15 months. The startup’s runway was vanishing, and investors questioned their commercialization path.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“Our tech was extraordinary. But no one wanted to bet without years of validation. We were stuck.”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enterprise adoption, the company risked being labeled “still in lab.”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Long cycles drained resources and investor patience.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Competitors with weaker tech but sharper GTM were moving ahead.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architected a Signal-led GTM Funnel around pilots: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Diagnostic: Identified that enterprises feared risk — they needed low-friction proof.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Pilot-first Strategy: Designed a pilot funnel where enterprises could onboard in &lt;30 days.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Signal Narrative: Reframed pilots not as “experiments” but as “early access inevitability.”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Velocity Motion: Built dedicated sales collateral, proof decks, and funnels optimized for pilot conversion.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Market Calibration: Positioned successful pilots as inevitability anchors for future scale.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Metrics Dashboard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Enterprise Pilots Secured: 5 in 90 days.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Cycle Compression: Sales cycles reduced from 15 months → 5 months.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Investor Confidence: Raised bridge capital citing pilot momentum.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Conversion Proof: 3 pilots converted into full-scale deployments.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Outcome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By shifting from “enterprise sales cycles” to “pilot-first inevitability,” the company collapsed adoption timelines and transmitted inevitability to both customers and investors.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Founder Voice (Redacted)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“We stopped chasing endless cycles. Pilots became our inevitability signal — and suddenly enterprise doors opened.”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Related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#12: Signal-First GTM Design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White Paper #15: The GTM Sprint That Reframed a Market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Clarity Series #11: Why DeepTech Dies in the Lab Without Signal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Final CTA Block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Clarity → Movement.</w:t>
      </w:r>
    </w:p>
    <w:p w:rsidR="00000000" w:rsidDel="00000000" w:rsidP="00000000" w:rsidRDefault="00000000" w:rsidRPr="00000000" w14:paraId="00000065">
      <w:pPr>
        <w:rPr/>
      </w:pPr>
      <w:r w:rsidDel="00000000" w:rsidR="00000000" w:rsidRPr="00000000">
        <w:rPr>
          <w:rtl w:val="0"/>
        </w:rPr>
        <w:t xml:space="preserve">Your enterprise GTM doesn’t need years. It needs pilots as inevitability signals. Architect the funnel.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[Talk to Yas]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[Book a Signal Call]</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