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#18: Compliance as Credibility — The Raise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BFSI (Banking, Financial Services &amp; Insurance)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Fund Raising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Middle East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USD 20M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digital lending platform had robust adoption in retail and SME segments. However, when they attempted to raise a Series B round, investors hesitated. Their question was not about the market opportunity but about the company’s ability to remain compliant in a heavily regulated sector.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 had traction. We had numbers. But investors doubted our ability to withstand regulatory scrutiny.”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fresh capital, the platform risked stalling at a scale threshold.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Compliance concerns created valuation drag — every conversation was discounted for perceived risk.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Competing platforms with weaker adoption but stronger compliance narratives were moving ahead in investor interest.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reframed the raise around compliance as the lead capital signal: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Capital Signal Diagnostic: Identified proof artifacts regulators had already cleared.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Core: Repositioned the company as “compliance-first fintech,” inevitable in a regulated sector.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Investor Kit: Built decks and briefs that led with licenses, audits, regulator engagement, and compliance velocity.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Negotiation Advisory: Anchored valuation discussions around trust signal, not just growth metrics.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Investor Conversion: 3 active VCs withdrew initial skepticism after compliance-first pitch.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Valuation Uplift: Secured 25% higher valuation compared to initial offers.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Capital Raised: USD 20M successfully closed.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Market Perception: Competitors’ “growth-first” positioning was overshadowed by company’s “trust-first inevitability.”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company closed its Series B by turning compliance — once a liability — into an inevitability signal. Investors reframed the platform from “risk-prone fintech” to “regulated growth infrastructure.”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“We used to bury compliance slides at the end of our deck. Instaura made them our opening — and that won the round.”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#9: Proof Without Signal Leaks Value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#19: Why VC Deal Flow Depends on Signal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Clarity Series #10: Why Regulatory Progress Is a Capital Artifact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Your compliance is not paperwork. It’s your capital signal. Architect it to win trust and valuation.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