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#2: Retention as Proof — Seed Closed on NRR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Technology (Enterprise 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Fund Raising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Seed Round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Southeast Asia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USD 1.3M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SaaS startup had healthy adoption and steady revenue, but investors were unimpressed with topline growth. Their churn curve looked “average” to investors who compared them to U.S. benchmarks. Despite a working product and satisfied users, every meeting ended the same way: “Interesting… but not compelling.”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raise was not just about capital. It was existential: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fresh capital, they would stall within 9 months.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positioned as “average,” they risked losing investor interest permanently.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Without proof of inevitability, top-tier hires would not join.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reframed the fund raise around Signal Architecture for capital: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Capital Signal Diagnostic: Shifted attention from growth rates to retention metrics.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Positioned Net Revenue Retention (NRR) as inevitability proof — “users never leave, they deepen.”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Investor Kit: Built decks, briefs, and proof data designed to highlight NRR first, not last.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Negotiation Advisory: Prepared founder for conversations where valuation was challenged; led with inevitability anchors.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NRR Signal: 128% NRR became the lead narrative artifact.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Investor Interest: From 2 term sheets → 6 within 45 days.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Valuation Impact: +35% higher than originally projected.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Closure Timeline: Round closed in 60 days.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company raised USD 1.3M seed on stronger-than-expected terms. More importantly, the investor community began referring to them as a “category-defining SaaS” rather than a “nice tool.” The capital amplified inevitability instead of just funding operations.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stopped selling growth. We started signaling inevitability. Suddenly, investors leaned forward instead of pulling back.”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#10: The Cost of Wrong Capital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#20: Capital as Signal, Not Commodity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#14: Proof Before Story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numbers may not move investors — but your signal will. Architect the capital signal before you raise.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