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#21: From Commodity to Credibility — The Real Estate Signal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Real Estate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Signal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Pre-Series A (Scaling Residential Projects)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India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(architecture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mid-sized real estate developer had completed multiple residential projects but struggled to stand out in a crowded market. Buyers saw them as “one of many,” and investors compared them to bigger incumbents with deeper brand equity. Despite timely delivery and high-quality construction, the developer’s projects lacked a unique market identity.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said: “We delivered well, but we weren’t remembered. Our signal was invisible.”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brand signal, pricing power was weak — projects were sold on discounts, not credibility.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Investors questioned scalability, citing lack of differentiation.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Expansion into commercial projects stalled due to weak recognition.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rebuilt their Signal Architecture with clarity and inevitability: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Diagnostic: Identified that “timely delivery” was an invisible signal — expected, not valued.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Core: Reframed the developer as “community creators” rather than just builders.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Visual Signal Design: Built proof artifacts — project storytelling, resident testimonials, and sustainability highlights.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Market Calibration: Crafted collateral for investors and buyers leading with “credibility signal” rather than price.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Pricing Power: Increased by 18% with fewer discounts.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Sales Velocity: 70% of a new project sold within 3 months.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Investor Outcome: Secured mezzanine financing for expansion.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Perception Shift: Market began to refer to them as “the community-first developer.”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developer successfully shifted perception from commodity supplier to credible community builder. Their projects began to carry brand inevitability instead of being “one among many.”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“We thought our delivery record spoke for itself. Instaura showed us that delivery wasn’t our signal — community was.”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#7: Why Design Without Signal is Decoration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#16: Why Real Estate is More About Perception Than Brick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Your projects aren’t just assets. They’re signals. Architect them to move buyers, investors, and markets.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