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#25: Signal Design for Defense Credibility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Defense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Signal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Pre-Series A (Prototype Stage)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India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(architecture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defense technology startup had developed embedded systems for UAV reconnaissance. The prototypes worked well, but adoption stalled. Defense procurement officers and investors perceived the company as “early-stage, untested,” despite successful pilot demonstrations. The founder admitted: “We had the tech, but we weren’t being seen as inevitable for the mission.”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Without credibility, defense contracts wouldn’t move past pilots.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Investors flagged the company as “high risk” with uncertain timelines.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Competing companies with weaker technology but stronger positioning were gaining traction.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 architected a Defense Signal Framework: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Signal Diagnostic: Found that the company’s artifacts were technical but not strategic.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Narrative Core: Reframed company as “mission-critical systems provider” rather than “defense startup.”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Proof Artifact Design: Highlighted operational wins — endurance, mission accuracy, reliability.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Market Calibration: Crafted decks and briefs for investors and defense buyers emphasizing inevitability signals — “mission readiness” over prototypes.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Procurement Progress: 2 MoUs with defense agencies converted to contracts.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Investor Response: $2M bridge capital committed post reframe.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Perception Shift: From “prototype startup” → “mission-critical partner.”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company crossed the credibility gap. By transmitting the right signals, it gained legitimacy with both defense procurement and investors, laying the foundation for scaling into multi-million contracts.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“Our prototypes worked. But we weren’t being read as inevitable. Instaura redesigned our signal — and everything changed.”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White Paper #12: Signal-First GTM Design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White Paper #17: When Storytelling Becomes Noise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Clarity Series #7: Why Defense Needs Signal More Than Tech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 defense, credibility isn’t won on prototypes. It’s won on signal. Architect it to become mission-critical.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