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#28: Strategic Reset for Defense Scale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Defense</w:t>
      </w:r>
    </w:p>
    <w:p w:rsidR="00000000" w:rsidDel="00000000" w:rsidP="00000000" w:rsidRDefault="00000000" w:rsidRPr="00000000" w14:paraId="00000004">
      <w:pPr>
        <w:rPr/>
      </w:pPr>
      <w:r w:rsidDel="00000000" w:rsidR="00000000" w:rsidRPr="00000000">
        <w:rPr>
          <w:rtl w:val="0"/>
        </w:rPr>
        <w:t xml:space="preserve">Service: Strategy Consulting</w:t>
      </w:r>
    </w:p>
    <w:p w:rsidR="00000000" w:rsidDel="00000000" w:rsidP="00000000" w:rsidRDefault="00000000" w:rsidRPr="00000000" w14:paraId="00000005">
      <w:pPr>
        <w:rPr/>
      </w:pPr>
      <w:r w:rsidDel="00000000" w:rsidR="00000000" w:rsidRPr="00000000">
        <w:rPr>
          <w:rtl w:val="0"/>
        </w:rPr>
        <w:t xml:space="preserve">Stage: Series B (Scale-Up)</w:t>
      </w:r>
    </w:p>
    <w:p w:rsidR="00000000" w:rsidDel="00000000" w:rsidP="00000000" w:rsidRDefault="00000000" w:rsidRPr="00000000" w14:paraId="00000006">
      <w:pPr>
        <w:rPr/>
      </w:pPr>
      <w:r w:rsidDel="00000000" w:rsidR="00000000" w:rsidRPr="00000000">
        <w:rPr>
          <w:rtl w:val="0"/>
        </w:rPr>
        <w:t xml:space="preserve">Region: Middle East (redacted)</w:t>
      </w:r>
    </w:p>
    <w:p w:rsidR="00000000" w:rsidDel="00000000" w:rsidP="00000000" w:rsidRDefault="00000000" w:rsidRPr="00000000" w14:paraId="00000007">
      <w:pPr>
        <w:rPr/>
      </w:pPr>
      <w:r w:rsidDel="00000000" w:rsidR="00000000" w:rsidRPr="00000000">
        <w:rPr>
          <w:rtl w:val="0"/>
        </w:rPr>
        <w:t xml:space="preserve">Mandate: Fractional Strategy Engagement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defense technology company had won several pilot projects and early-stage contracts. However, scaling across multiple geographies and defense agencies was proving impossible. Each new engagement required long negotiations, different compliance standards, and bespoke integrations. Investors flagged “slow velocity,” and internal teams were overwhelmed by firefighting.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said: “We had momentum, but no movement. Each contract felt like starting from zero.”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clarity, the company risked becoming a “project shop” rather than a strategic defense partner.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Lack of standardization stretched teams and slowed delivery.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Investors were reluctant to back the Series B without proof of scalable execution.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applied a Signal-Driven Strategic Reset: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Signal Diagnostic: Identified repeatable inevitability signals — endurance, mission-readiness, and compliance alignment.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Narrative Reset: Reframed the company as a “multi-mission defense systems partner” instead of “project-by-project vendor.”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Strategy Sprint: Built a 12-month roadmap prioritizing scalable frameworks: standard compliance kit, modular product integration, and regional defense partnerships.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Investor Alignment: Created board and investor narratives emphasizing inevitability of scale.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Fractional Strategy Engagement: Installed a cadence where leadership teams executed signal-first quarterly objectives.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Metrics Dashboard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Contract Conversion: 3 pilots converted into long-term programs.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Geographic Expansion: Entered 2 new defense markets within 9 months.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Investor Confidence: Secured $15M Series B with 2 global defense-focused investors.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Execution Velocity: Delivery cycle reduced by 35% through modularization.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Outcome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company transitioned from “pilot-heavy vendor” to inevitable defense systems partner. This clarity unlocked capital, scale, and credibility across regions.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Founder Voice (Redacted)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“We were winning contracts but losing the war of perception. Instaura gave us the clarity to scale like an inevitability, not just another defense startup.”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Related Resources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White Paper #11: Signal Gravity in Strategy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White Paper #15: The GTM Sprint That Reframed a Market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Clarity Series #7: Why Defense Needs Signal More Than Tech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Final CTA Block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Clarity → Movement.</w:t>
      </w:r>
    </w:p>
    <w:p w:rsidR="00000000" w:rsidDel="00000000" w:rsidP="00000000" w:rsidRDefault="00000000" w:rsidRPr="00000000" w14:paraId="00000065">
      <w:pPr>
        <w:rPr/>
      </w:pPr>
      <w:r w:rsidDel="00000000" w:rsidR="00000000" w:rsidRPr="00000000">
        <w:rPr>
          <w:rtl w:val="0"/>
        </w:rPr>
        <w:t xml:space="preserve">Defense scale doesn’t come from contracts alone. It comes from strategy as signal. Architect it before your next leap.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[Talk to Yas]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[Book a Signal Call]</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