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#3: Proof-Led Enterprise Entry in 90 Days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Technology (Enterprise 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Growth (Post-Seed, Pre-Series 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→ SEA Expansion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SaaS company had solid mid-market traction in India but couldn’t penetrate enterprise accounts. Despite product readiness, sales cycles dragged endlessly, pilots stalled, and enterprise adoption was non-existent. The founders feared burning runway while watching competitors win visibility in boardrooms.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Enterprise adoption was critical to achieving the valuation step-up for the upcoming Series 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proof of enterprise credibility, they risked being boxed into “mid-market only” positioning.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Hiring senior sales talent depended on proof that the company could move upmarket.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architected a Signal-first GTM Sprint: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Proof Artifact Design: Selected one high-value enterprise pilot as the anchor artifact.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Scarcity Positioning: Offered limited early-access enterprise integrations.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Velocity Channels: Built a funnel around webinars, live founder demos, and C-level referral loops.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Sales Enablement Kit: Created targeted decks, one-pagers, and proof cases built for enterprise procurement teams.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Motion Playbook: Designed a 90-day sprint calendar, assigning weekly signal checkpoints.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Enterprise Pilots Secured: 4 in 90 days (Fortune 500 + large regional banks).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Sales Cycle Compression: From 9 months → 3 months.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Pipeline Expansion: 3× increase in qualified enterprise leads.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Series A Outcome: Investor diligence led with enterprise proof, not just mid-market metrics.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Within three months, the startup successfully repositioned from “SMB tool” to “enterprise-ready SaaS.” The proof sprint reframed their market standing and created inevitability, accelerating their valuation step-up.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“We thought enterprise would take years. With signal-first GTM, we had four pilots running in three months.”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#15: The GTM Sprint That Reframed a Market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Clarity Series #7: Why GTM Isn’t About More Channels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Don’t run endless campaigns. Architect a signal-first GTM sprint and enter enterprise in weeks, not years.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