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#30: $6M Raise on Ecosystem Inevitability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Technology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Fund Raising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A (Scaling Phase)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USA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USD 6M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B2B SaaS platform had strong pilots with mid-market customers but struggled in investor conversations. The deck emphasized features and traction, but VCs categorized it as “one of many SaaS plays.” The founder admitted: “We kept showing revenue graphs, but they kept asking what made us inevitable.”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Without fresh capital, they risked losing early momentum.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Valuation multiples were low due to perception of commoditization.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Competitors with weaker traction but sharper signals were raising larger rounds.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reframed the raise around ecosystem inevitability: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Capital Signal Diagnostic: Identified strongest proof artifacts — enterprise lock-in, integrations, and early ecosystem partnerships.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Narrative Core: Shifted story from “tool with growth” → “platform with inevitability.”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Investor Kit: Rebuilt deck to lead with inevitability signals: adoption velocity, stickiness, and integrations.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Negotiation Advisory: Anchored valuation around ecosystem dependence, not just ARR.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Investor Conversion: From 2 lukewarm discussions → 4 firm commitments.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Valuation Impact: Closed round at 1.5× higher valuation than initial offers.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Capital Raised: USD 6M in 90 days.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Market Signal: Began being referenced as “infrastructure play,” not SaaS tool.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company secured a $6M raise with strong investor alignment. More importantly, its perception shifted from “feature-rich tool” to “ecosystem inevitability platform,” setting up for rapid scale.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“We stopped pitching features. Instaura rebuilt us as inevitability. That’s what raised the round.”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White Paper #10: The Cost of Wrong Capital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Clarity Series #6: Why Founders Confuse Product with Signal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Capital doesn’t move on features. It moves on inevitability. Architect your raise before your next investor call.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