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#33: Signal Reset for a D2C Brand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Consumer Products (D2C)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Signal Architecture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Seed → Pre-Series 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India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Ticket Size: N/A (architecture mandate, not raise)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D2C brand had built a following online, but despite strong reviews, sales growth flattened. Competitors with noisier marketing were overtaking them. Investors saw them as “another lifestyle product” rather than a movement.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founder said: “We had love from customers. But beyond that, no one remembered us.”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Without a differentiated signal, the brand risked fading into noise.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Expansion into new categories would fail without a clear identity.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Investor readiness was weak — the brand didn’t read as inevitable.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rebuilt the Signal Architecture for consumer inevitability: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Signal Diagnostic: Identified strongest artifacts — high repeat purchase rates and organic community love.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Narrative Reset: Shifted brand from “lifestyle product” → “community-led inevitability.”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Proof Artifacts: Designed decks and funnels showing advocacy, not just transactions.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Market Calibration: Positioned company as a movement brand anchored in community, not just a catalog of SKUs.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Retention Signal: Repeat purchase rates increased by 2.8× in 6 months.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Investor Conversion: Attracted 2 pre-Series A investors citing brand inevitability.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Market Signal: Became the “default choice” in its category across online marketplaces.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company moved from “D2C commodity” to “consumer inevitability brand.” Both investors and customers began treating it as the default movement, not one of many options.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 “We thought sales spoke for themselves. Instaura showed us that only signals make you remembered.”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White Paper #7: Why Design Without Signal is Decoration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White Paper #5: Funnels Without Signal Leak Value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Clarity Series #8: Why Products Don’t Move Off Shelves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Your brand doesn’t scale on noise. It scales on inevitability. Architect the signal first.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