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Case Study #34: Brand Signal Unlocks $8M Growth Raise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Sector: Consumer Products (D2C)</w:t>
      </w:r>
    </w:p>
    <w:p w:rsidR="00000000" w:rsidDel="00000000" w:rsidP="00000000" w:rsidRDefault="00000000" w:rsidRPr="00000000" w14:paraId="00000005">
      <w:pPr>
        <w:rPr/>
      </w:pPr>
      <w:r w:rsidDel="00000000" w:rsidR="00000000" w:rsidRPr="00000000">
        <w:rPr>
          <w:rtl w:val="0"/>
        </w:rPr>
        <w:t xml:space="preserve">Service: Fund Raising</w:t>
      </w:r>
    </w:p>
    <w:p w:rsidR="00000000" w:rsidDel="00000000" w:rsidP="00000000" w:rsidRDefault="00000000" w:rsidRPr="00000000" w14:paraId="00000006">
      <w:pPr>
        <w:rPr/>
      </w:pPr>
      <w:r w:rsidDel="00000000" w:rsidR="00000000" w:rsidRPr="00000000">
        <w:rPr>
          <w:rtl w:val="0"/>
        </w:rPr>
        <w:t xml:space="preserve">Stage: Series A (Scaling Nationally)</w:t>
      </w:r>
    </w:p>
    <w:p w:rsidR="00000000" w:rsidDel="00000000" w:rsidP="00000000" w:rsidRDefault="00000000" w:rsidRPr="00000000" w14:paraId="00000007">
      <w:pPr>
        <w:rPr/>
      </w:pPr>
      <w:r w:rsidDel="00000000" w:rsidR="00000000" w:rsidRPr="00000000">
        <w:rPr>
          <w:rtl w:val="0"/>
        </w:rPr>
        <w:t xml:space="preserve">Region: India (redacted)</w:t>
      </w:r>
    </w:p>
    <w:p w:rsidR="00000000" w:rsidDel="00000000" w:rsidP="00000000" w:rsidRDefault="00000000" w:rsidRPr="00000000" w14:paraId="00000008">
      <w:pPr>
        <w:rPr/>
      </w:pPr>
      <w:r w:rsidDel="00000000" w:rsidR="00000000" w:rsidRPr="00000000">
        <w:rPr>
          <w:rtl w:val="0"/>
        </w:rPr>
        <w:t xml:space="preserve">Ticket Size: USD 8M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Conundrum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consumer products startup had built strong traction in metros through digital channels. Growth was steady, but investors dismissed them as “another D2C play” with no defensible edge. Despite great customer reviews and a loyal repeat base, the narrative didn’t translate into capital readiness.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founder admitted: “We kept saying customers loved us. Investors kept asking why we mattered in a sea of brands.”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It Mattered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Without capital, expansion into Tier-2 cities and offline retail would stall.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Competitors with weaker unit economics but stronger signals were closing bigger rounds.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Perception drag kept valuation multiples compressed.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rebuilt the Fund Raising Signal Architecture: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Capital Signal Diagnostic: Identified strongest inevitability proof — high repeat purchase rates and customer-driven word of mouth.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Narrative Core: Reframed brand from “good product” → “inevitable consumer movement.”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Investor Kit: Built decks where retention curves and brand advocacy led the story, not buried in appendices.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Negotiation Advisory: Anchored conversations around inevitability of scale from consumer pull, not just ad-spend growth.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Metrics Dashboard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Capital Raised: USD 8M Series A closed in 100 days.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Valuation Uplift: 2.1× compared to early offers.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Retail Expansion: Entry into 2 major offline retail chains.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Investor Conversion: From 1 lukewarm interest → 4 committed backers.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Outcome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company moved from being seen as “another D2C brand” to a consumer inevitability signal. Capital unlocked expansion, and valuation perception shifted dramatically.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Founder Voice (Redacted)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&gt; “We stopped pitching sales numbers. We started signaling inevitability. That changed how every investor looked at us.”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Related Resources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White Paper #10: The Cost of Wrong Capital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#7: Why Design Without Signal is Decoration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Clarity Series #8: Why Products Don’t Move Off Shelves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Final CTA Block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Clarity → Movement.</w:t>
      </w:r>
    </w:p>
    <w:p w:rsidR="00000000" w:rsidDel="00000000" w:rsidP="00000000" w:rsidRDefault="00000000" w:rsidRPr="00000000" w14:paraId="00000063">
      <w:pPr>
        <w:rPr/>
      </w:pPr>
      <w:r w:rsidDel="00000000" w:rsidR="00000000" w:rsidRPr="00000000">
        <w:rPr>
          <w:rtl w:val="0"/>
        </w:rPr>
        <w:t xml:space="preserve">Consumer capital doesn’t flow on noise. It flows on signals of inevitability. Architect them before your next raise.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[Talk to Yas]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