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Case Study #36: Strategic Reset to Escape the Commodity Trap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Sector: Consumer Products (D2C)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Stage: Series B (Growth Transition)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Region: India &amp; Middle East (redacted)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Mandate: Strategy Sprint → Fractional Strategy Engagement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consumer products startup had built traction online and was raising attention from retailers. But growth began stalling. They chased too many SKUs, entered multiple geographies, and relied heavily on discount-led campaigns. Investors flagged lack of clarity: “Are you a brand or a discount engine?” Teams were scattered, unsure of focus, and the market perceived them as “just another D2C brand.”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founder admitted: “We were moving, but not in one direction. Everyone saw us as noise.”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Without strategic clarity, valuation multiples were being compressed.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Customers loved the product, but brand loyalty was leaking because of discount-heavy signals.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Talent was demotivated — the mission didn’t feel inevitable.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applied a Signal-Led Strategy Framework: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Signal Diagnostic: Identified strongest inevitability cue → retention and repeat purchase rates.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Narrative Reset: Reframed company as “community-first lifestyle brand” rather than a commodity D2C player.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Quarterly Strategy Sprints: Limited SKU proliferation, prioritized hero products with community pull.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Investor Alignment: Designed board communication around inevitability metrics — retention, lifetime value, and advocacy.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Fractional Strategy Engagement: Aligned execution across marketing, operations, and retail entry with a signal-first lens.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SKU Reset: Reduced catalogue by 40%, doubled down on hero SKUs.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Retention: Repeat purchase rates increased by 2.2×.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Investor Outcome: Raised $10M Series B with 2 top-tier investors.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Team Alignment: Execution improved — campaigns became community-led, not discount-led.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startup shifted from “commodity D2C” to “community inevitability brand.” Investor perception improved, brand equity soared, and execution velocity strengthened.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“We thought discounts were our engine. Instaura showed us that our community was the real inevitability. That clarity changed everything.”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Clarity Series #8: Why Products Don’t Move Off Shelves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Your brand doesn’t scale on discounts. It scales on inevitability. Architect your strategy before expansion.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