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#37: Signal Reset for Healthcare Credibility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Healthcare &amp; Pharma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Signal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Pre-Series A (Clinical Validation Stage)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(architecture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healthtech startup had developed a diagnostic platform with strong clinical results. However, despite medical validation, they failed to move investors and large hospital chains. The problem wasn’t science — it was perception. The market saw them as “another startup with tech claims.”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thought clinical data was enough. But no one outside the lab believed in us.”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strong external signals, hospital adoption would stall.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Investors hesitated due to lack of credibility beyond trials.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Competitors with weaker science but louder signals were capturing market share.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rebuilt the Signal Architecture for medical credibility: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gaps between clinical validation and market readiness.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Reframed from “diagnostic startup” → “inevitable infrastructure for faster, more reliable diagnosis.”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Proof Artifacts: Designed signal-heavy briefs: peer reviews, physician endorsements, patient testimonials.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Market Calibration: Rebuilt decks and messaging to make science legible to investors and hospital buyers.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Adoption Velocity: 3 large hospital chains signed pilots within 4 months.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Investor Perception: 2 early-stage funds initiated serious discussions.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Credibility Lift: Featured in 2 major medical journals → enhanced inevitability.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Sales Signal: 40% faster conversion in B2B hospital pitches.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company shifted from “clinical but invisible” to “market-ready and inevitable.” Both investors and hospital partners started treating the solution as credible infrastructure, not an experiment.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thought science would speak for itself. Instaura showed us that only signals move the market. That changed everything.”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#8: Why Validation Isn’t a Signal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#9: Why Proof Alone Doesn’t Move Patients or Markets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healthcare, data is noise unless signaled. Architect credibility before your next move.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