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#38: Clinical Proof Converted Into $15M Growth Capital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Healthcare &amp; Pharma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Fund Raising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A (Scaling Stage)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Southeast Asia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USD 15M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healthcare technology company had validated its diagnostic solution with strong clinical trial data. Hospitals loved the science but adoption remained slow. When raising a Series A, investors categorized them as “early research play” rather than a scalable healthcare company. Despite traction in pilots, valuation offers came in low and term sheets carried restrictive clauses.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said: “We had the data, we had the validation. But investors just didn’t see inevitability.”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capital, commercialization would stall, limiting impact.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Investor skepticism risked pushing the company into unfavorable deal terms.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Competitors with weaker science but stronger investor signals were raising faster.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reframed the Fund Raising Signal Framework: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Capital Signal Diagnostic: Identified hidden inevitability proofs — hospital partnerships, physician endorsements, regulatory clearances.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Core: Rebuilt story from “validated startup” → “inevitable healthcare infrastructure.”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Investor Kit: Crafted decks that led with adoption momentum, not just clinical data.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Negotiation Advisory: Anchored valuation around inevitability of scale, highlighting “must-have” adoption trends.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Capital Raised: USD 15M Series A closed in under 5 months.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Valuation Impact: 1.7× uplift over initial offers.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Investor Mix: Secured participation from both healthcare-focused VCs and strategic hospital chains.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Adoption Proof: 7 hospitals onboarded during fundraising cycle.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company transformed from a “clinical research project” into a scalable healthcare inevitability. Investors leaned in, deal terms improved, and growth capital was unlocked to scale operations.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“We thought data would close the raise. Instaura showed us that only signals close capital. That changed the game.”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#8: Why Validation Isn’t a Signal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#10: The Cost of Wrong Capital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#9: Why Proof Alone Doesn’t Move Patients or Markets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Healthcare raises don’t move on clinical data. They move on inevitability signals. Architect them before your next round.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