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Case Study #40: Strategy Reset for Healthcare Scale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Sector: Healthcare &amp; Pharma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Service: Strategy Consulting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Stage: Series B (Scaling Operations)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Region: Middle East &amp; India (redacted)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Mandate: Strategy Sprint → Fractional Strategy Engagement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healthcare services company with a proven diagnostics platform had raised Series A successfully but struggled to convert momentum into scale. The company was trying to do everything at once — new geographies, product expansions, partnerships — but lacked a unifying narrative. Internally, teams pulled in different directions, and investors complained of “scatter” and “no clarity of inevitable scale.”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founder admitted: “We had the traction, but it felt like noise. We weren’t being seen as inevitable healthcare infrastructure.”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Why It Mattered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Scaling without clarity risked burning cash across fragmented priorities.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Investors were losing confidence ahead of Series B.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Regulatory and hospital partners were confused about the company’s true positioning.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Our Approach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 designed a Signal-First Strategy Reset: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Signal Diagnostic: Found that the strongest inevitability artifact was hospital adoption velocity — hidden beneath scattered narratives.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Narrative Core: Reframed company as “hospital-first infrastructure partner” rather than “diagnostics solutions provider.”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Quarterly Strategy Sprint: Reduced expansion noise, focused execution on 2 core geographies and 1 flagship service line.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Investor Kit: Rebuilt communication for board &amp; Series B investors, anchoring around inevitability signals — adoption momentum, regulatory partnerships, and hospital integration.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5. Fractional Strategy Engagement: Installed ongoing governance to align execution velocity with narrative clarity.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Execution Alignment: Reduced projects from 11 scattered initiatives → 4 focused ones.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Investor Confidence: Secured $20M Series B at stronger terms.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Adoption Velocity: Hospital partnerships grew 3× within 12 months.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Talent Alignment: Employee attrition dropped by 30% as clarity reenergized the mission.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company shifted from being perceived as a “diagnostics startup” to inevitable healthcare infrastructure partner. This clarity attracted capital, strengthened partnerships, and brought cohesion across teams.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Founder Voice (Redacted)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&gt; “We were drowning in our own momentum. Instaura cut through the noise, gave us signal — and suddenly, everyone saw us as inevitable.”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White Paper #11: Signal Gravity in Strategy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White Paper #8: Why Validation Isn’t a Signal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Clarity Series #9: Why Proof Alone Doesn’t Move Patients or Markets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Healthcare scale doesn’t move on traction. It moves on signal. Architect strategy before chasing more growth.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