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#44: Strategic Reset for AI Infrastructure Scale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DeepTech &amp;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B (Scaling Phase)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&amp;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Strategy Sprint → Fractional Strategy Engagement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 AI infrastructure startup had achieved strong early traction with enterprise pilots and a $6M Series A. However, growth plateaued. They were chasing multiple use cases — telecom, finance, logistics — without dominance in any one vertical. The board flagged “scatter,” customers were unclear on positioning, and investors hesitated on the Series B.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had movement everywhere, but no inevitability anywhere.”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Lack of strategic clarity diluted investor confidence for Series 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Teams burned resources building bespoke solutions for each vertical.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Competitors with narrower but sharper focus were overtaking them.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installed a Signal-Led Strategy Reset: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strongest inevitability artifact → adoption velocity in telecom.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Reset: Reframed company from “AI infrastructure for all” → “telecom-first inevitability infrastructure.”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Strategy Sprint: Focused 12 months on telecom market dominance, deprioritizing scatter use cases.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Investor Alignment: Rebuilt Series B story → inevitability in one vertical as a wedge into others.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Fractional Strategy Engagement: Installed governance cadence to keep execution signal-first, not opportunity-driven.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Vertical Focus: Telecom adoption grew 4× in 12 months.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Series B Success: Raised $22M at 2.3× higher valuation.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Execution Efficiency: Cut engineering costs by 30% via product standardization.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Market Perception: Became “category inevitable” in telecom, referenced by analysts.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startup transitioned from “scattered opportunity seeker” to “inevitable telecom infrastructure.” This clarity re-energized teams, attracted stronger capital, and gave them a repeatable playbook for other verticals.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“We thought opportunity everywhere was growth. Instaura showed us that inevitability in one vertical was the only real signal.”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Clarity Series #12: Why DeepTech Dies in Translation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DeepTech scale doesn’t come from chasing opportunities. It comes from signal-driven strategy. Architect clarity before your next growth leap.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