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 Study #45: Signal Reset for BFSI Trust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Sector: BFSI (Banking, Financial Services &amp; Insurance)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Service: Signal Architecture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Stage: Seed → Pre-Series 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Region: Southeast Asia (redacted)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Ticket Size: N/A (architecture mandate, not raise)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fintech startup had developed a payments solution with strong tech fundamentals and compliance approvals. Yet adoption lagged. Banks and institutional partners saw them as “just another wallet,” while investors considered them risky and redundant in a crowded space.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founder said: “We had all the licenses, but no one believed we’d survive the noise.”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Without credible signals, BFSI partners delayed integrations.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Institutional investors dismissed them as commoditized.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regulatory approvals — their strongest signal — were buried in technical documents, not highlighted as inevitability.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designed a BFSI Signal Architecture Framework: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Signal Diagnostic: Found the narrative gap — licenses and compliance weren’t being read as inevitability cues.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Narrative Core: Reframed company as “regulatory-cleared, trust-first platform” rather than a generic fintech app.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Proof Artifacts: Built compliance-led decks, highlighting approvals and institutional-grade resilience.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Market Calibration: Repositioned with BFSI partners around inevitability → “platform you can’t ignore once regulations tighten.”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Adoption: 3 institutional partners integrated within 6 months.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Investor Perception: Shifted from “commoditized fintech” → “inevitable compliance infrastructure.”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Traction Signal: Daily transactions grew 2.4× post re-architecture.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Market Credibility: Regulatory approvals became the lead message — not a footnote.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startup crossed the credibility chasm. By signaling inevitability through compliance and trust, it gained institutional partners and investor attention that earlier felt unreachable.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&gt; “We thought compliance was just paperwork. Instaura showed us that compliance was the ultimate signal. That clarity changed our trajectory.”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White Paper #19: Compliance as a Market Signal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White Paper #11: Signal Gravity in Strategy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Clarity Series #15: Why Strategy Isn’t About Doing More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 BFSI, noise is cheap. Trust is signal. Architect it before your next partner call.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