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Case Study #5: Packaging the Promise — Shelf Signal that Sells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Sector: Consumer Products &amp; D2C</w:t>
      </w:r>
    </w:p>
    <w:p w:rsidR="00000000" w:rsidDel="00000000" w:rsidP="00000000" w:rsidRDefault="00000000" w:rsidRPr="00000000" w14:paraId="00000005">
      <w:pPr>
        <w:rPr/>
      </w:pPr>
      <w:r w:rsidDel="00000000" w:rsidR="00000000" w:rsidRPr="00000000">
        <w:rPr>
          <w:rtl w:val="0"/>
        </w:rPr>
        <w:t xml:space="preserve">Service: Signal Architecture</w:t>
      </w:r>
    </w:p>
    <w:p w:rsidR="00000000" w:rsidDel="00000000" w:rsidP="00000000" w:rsidRDefault="00000000" w:rsidRPr="00000000" w14:paraId="00000006">
      <w:pPr>
        <w:rPr/>
      </w:pPr>
      <w:r w:rsidDel="00000000" w:rsidR="00000000" w:rsidRPr="00000000">
        <w:rPr>
          <w:rtl w:val="0"/>
        </w:rPr>
        <w:t xml:space="preserve">Stage: Pre-Series A (Scaling D2C brand)</w:t>
      </w:r>
    </w:p>
    <w:p w:rsidR="00000000" w:rsidDel="00000000" w:rsidP="00000000" w:rsidRDefault="00000000" w:rsidRPr="00000000" w14:paraId="00000007">
      <w:pPr>
        <w:rPr/>
      </w:pPr>
      <w:r w:rsidDel="00000000" w:rsidR="00000000" w:rsidRPr="00000000">
        <w:rPr>
          <w:rtl w:val="0"/>
        </w:rPr>
        <w:t xml:space="preserve">Region: India (redacted)</w:t>
      </w:r>
    </w:p>
    <w:p w:rsidR="00000000" w:rsidDel="00000000" w:rsidP="00000000" w:rsidRDefault="00000000" w:rsidRPr="00000000" w14:paraId="00000008">
      <w:pPr>
        <w:rPr/>
      </w:pPr>
      <w:r w:rsidDel="00000000" w:rsidR="00000000" w:rsidRPr="00000000">
        <w:rPr>
          <w:rtl w:val="0"/>
        </w:rPr>
        <w:t xml:space="preserve">Ticket Size: N/A (architecture mandate, not raise)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Conundrum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fast-growing D2C brand had strong repeat buyers online but was struggling in offline retail. Products were placed on shelves but blended into the noise. Despite high product quality, buyers saw them as “just another new brand.” Retailers demanded discounts, and investors questioned scalability beyond digital.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founder admitted: “We know the product works, but nobody ‘sees’ us in retail.”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It Mattered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Without offline pull, the brand risked stalling growth at ₹10–15 Cr ARR.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Weak shelf presence meant limited leverage in distributor negotiations.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Investors flagged the offline gap as a scalability bottleneck.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rebuilt the Signal Architecture for visibility and inevitability: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Diagnostic: Identified brand cues that were invisible in shelf context.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Narrative Core: Reframed the product from “new entrant” → “category challenger.”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Visual Signal Design: Redesigned packaging and in-store brand assets to amplify differentiation.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Market Calibration: Created proof cues (retailer adoption metrics, consumer recall surveys) to signal inevitability.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Metrics Dashboard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Retail Adoption: Secured 120+ new stores in 90 days.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Consumer Recall: Packaging recognition improved by 3.2×.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Investor Reaction: Post-architecture deck led with “offline inevitability” → unlocked 2 active discussions.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Outcome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brand shifted perception from “discounted startup product” to “category challenger.” Retail buyers began approaching them for stocking opportunities instead of the other way around.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Founder Voice (Redacted)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&gt; “We stopped fighting for shelf space. The signal worked for us — suddenly, we were noticed and remembered.”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Related Resources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White Paper #7: Why Design Without Signal is Decoration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Clarity Series #8: Why Products Don’t Move Off Shelves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Case Study: Consumer Health Signal Reframe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Final CTA Block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Clarity → Movement.</w:t>
      </w:r>
    </w:p>
    <w:p w:rsidR="00000000" w:rsidDel="00000000" w:rsidP="00000000" w:rsidRDefault="00000000" w:rsidRPr="00000000" w14:paraId="00000061">
      <w:pPr>
        <w:rPr/>
      </w:pPr>
      <w:r w:rsidDel="00000000" w:rsidR="00000000" w:rsidRPr="00000000">
        <w:rPr>
          <w:rtl w:val="0"/>
        </w:rPr>
        <w:t xml:space="preserve">Your product doesn’t just need distribution. It needs signal that moves shelves and investors alike.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[Talk to Yas]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[Book a Signal Call]</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