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#6: Brand Velocity → Capital Velocity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Consumer Products &amp; D2C</w:t>
      </w:r>
    </w:p>
    <w:p w:rsidR="00000000" w:rsidDel="00000000" w:rsidP="00000000" w:rsidRDefault="00000000" w:rsidRPr="00000000" w14:paraId="00000004">
      <w:pPr>
        <w:rPr/>
      </w:pPr>
      <w:r w:rsidDel="00000000" w:rsidR="00000000" w:rsidRPr="00000000">
        <w:rPr>
          <w:rtl w:val="0"/>
        </w:rPr>
        <w:t xml:space="preserve">Service: Fund Raising</w:t>
      </w:r>
    </w:p>
    <w:p w:rsidR="00000000" w:rsidDel="00000000" w:rsidP="00000000" w:rsidRDefault="00000000" w:rsidRPr="00000000" w14:paraId="00000005">
      <w:pPr>
        <w:rPr/>
      </w:pPr>
      <w:r w:rsidDel="00000000" w:rsidR="00000000" w:rsidRPr="00000000">
        <w:rPr>
          <w:rtl w:val="0"/>
        </w:rPr>
        <w:t xml:space="preserve">Stage: Series A</w:t>
      </w:r>
    </w:p>
    <w:p w:rsidR="00000000" w:rsidDel="00000000" w:rsidP="00000000" w:rsidRDefault="00000000" w:rsidRPr="00000000" w14:paraId="00000006">
      <w:pPr>
        <w:rPr/>
      </w:pPr>
      <w:r w:rsidDel="00000000" w:rsidR="00000000" w:rsidRPr="00000000">
        <w:rPr>
          <w:rtl w:val="0"/>
        </w:rPr>
        <w:t xml:space="preserve">Region: Southeast Asia (redacted)</w:t>
      </w:r>
    </w:p>
    <w:p w:rsidR="00000000" w:rsidDel="00000000" w:rsidP="00000000" w:rsidRDefault="00000000" w:rsidRPr="00000000" w14:paraId="00000007">
      <w:pPr>
        <w:rPr/>
      </w:pPr>
      <w:r w:rsidDel="00000000" w:rsidR="00000000" w:rsidRPr="00000000">
        <w:rPr>
          <w:rtl w:val="0"/>
        </w:rPr>
        <w:t xml:space="preserve">Ticket Size: USD 6M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D2C brand had created online buzz and early traction, but investors remained skeptical. They were unconvinced that “viral consumer love” could translate into scalable, predictable growth. Retailers saw them as a fad brand. The founder faced rejections on valuation grounds and struggled to communicate inevitability.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Why It Mattered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company was burning cash to maintain digital momentum.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capital, it would miss the timing to enter offline retail chains.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Weak capital narrative risked typecasting them as a “trend product” instead of a “scalable challenger.”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Our Approach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reframed the raise with brand velocity as the lead capital signal: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Capital Signal Diagnostic: Identified that repeat purchase velocity was stronger than revenue growth.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Narrative Core: Shifted pitch from “growing fast” → “growing deeper.”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Investor Narrative Kit: Designed decks emphasizing customer stickiness, not just acquisition.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Negotiation Advisory: Coached founders to lead with inevitability proof: brand resonance → market dominance.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Metrics Dashboard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Repeat Purchase Rate: 62% became the lead artifact.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Investor Conversion: 1 LOI → 4 term sheets in 45 days.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Valuation Uplift: 40% higher than the previous offer.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Closure Timeline: Series A closed in 75 days.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Outcome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company successfully raised USD 6M Series A on favorable terms. More importantly, they reframed their narrative: no longer seen as “another consumer brand,” but as a category challenger with inevitable adoption.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Founder Voice (Redacted)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&gt; “We kept pushing top-line growth in pitches. Instaura showed us that our real proof was brand velocity. That changed everything.”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Related Resources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White Paper #14: Proof Before Story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White Paper #20: Capital as Signal, Not Commodity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Clarity Series #12: Why Valuation Is a Signal, Not a Number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Final CTA Block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Clarity → Movement.</w:t>
      </w:r>
    </w:p>
    <w:p w:rsidR="00000000" w:rsidDel="00000000" w:rsidP="00000000" w:rsidRDefault="00000000" w:rsidRPr="00000000" w14:paraId="00000060">
      <w:pPr>
        <w:rPr/>
      </w:pPr>
      <w:r w:rsidDel="00000000" w:rsidR="00000000" w:rsidRPr="00000000">
        <w:rPr>
          <w:rtl w:val="0"/>
        </w:rPr>
        <w:t xml:space="preserve">Your brand’s inevitability isn’t in growth charts — it’s in the velocity of belief. Architect the right signal before you raise.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[Talk to Yas]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[Book a Signal Call]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