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Study #7: Drop-Based Scarcity That Doubled LTV</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Sector: Consumer Products &amp; D2C</w:t>
      </w:r>
    </w:p>
    <w:p w:rsidR="00000000" w:rsidDel="00000000" w:rsidP="00000000" w:rsidRDefault="00000000" w:rsidRPr="00000000" w14:paraId="00000004">
      <w:pPr>
        <w:rPr/>
      </w:pPr>
      <w:r w:rsidDel="00000000" w:rsidR="00000000" w:rsidRPr="00000000">
        <w:rPr>
          <w:rtl w:val="0"/>
        </w:rPr>
        <w:t xml:space="preserve">Service: GTM &amp; Funnels</w:t>
      </w:r>
    </w:p>
    <w:p w:rsidR="00000000" w:rsidDel="00000000" w:rsidP="00000000" w:rsidRDefault="00000000" w:rsidRPr="00000000" w14:paraId="00000005">
      <w:pPr>
        <w:rPr/>
      </w:pPr>
      <w:r w:rsidDel="00000000" w:rsidR="00000000" w:rsidRPr="00000000">
        <w:rPr>
          <w:rtl w:val="0"/>
        </w:rPr>
        <w:t xml:space="preserve">Stage: Pre-Series B</w:t>
      </w:r>
    </w:p>
    <w:p w:rsidR="00000000" w:rsidDel="00000000" w:rsidP="00000000" w:rsidRDefault="00000000" w:rsidRPr="00000000" w14:paraId="00000006">
      <w:pPr>
        <w:rPr/>
      </w:pPr>
      <w:r w:rsidDel="00000000" w:rsidR="00000000" w:rsidRPr="00000000">
        <w:rPr>
          <w:rtl w:val="0"/>
        </w:rPr>
        <w:t xml:space="preserve">Region: Middle East (redacted)</w:t>
      </w:r>
    </w:p>
    <w:p w:rsidR="00000000" w:rsidDel="00000000" w:rsidP="00000000" w:rsidRDefault="00000000" w:rsidRPr="00000000" w14:paraId="00000007">
      <w:pPr>
        <w:rPr/>
      </w:pPr>
      <w:r w:rsidDel="00000000" w:rsidR="00000000" w:rsidRPr="00000000">
        <w:rPr>
          <w:rtl w:val="0"/>
        </w:rPr>
        <w:t xml:space="preserve">Ticket Size: N/A (execution &amp; funnel mandate)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Conundrum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D2C fashion brand had loyal buyers online, but retention curves flattened after 2–3 purchases. Growth depended on constantly acquiring new customers, and CAC was rising. The funnel looked efficient on paper, but no true signal of inevitability was being transmitted to investors or customers.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founder admitted: “We’re chasing new customers every month instead of moving our core believers deeper.”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It Mattered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Without a retention-led GTM model, the brand would burn capital inefficiently.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Investors were questioning unit economics at scale.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CAC/LTV ratios were too thin to justify valuation uplift.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Approach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designed and installed a Signal-first Funnel + GTM Model: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Funnel Diagnostic: Identified the leak after purchase #3.</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Drop-Based Scarcity Play: Designed limited product releases (“drops”) every quarter to activate exclusivity.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Community Funnel: Built a private member loop for early access buyers, gamified with social proof.</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Narrative Signal: Positioned the brand as “scarce, inevitable, insider-owned.”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Metrics Dashboard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LTV: Doubled in 6 months through repeat purchase velocity.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CAC/LTV Ratio: Improved from 2.1× → 4.5×.</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Churn: Reduced by 38%.</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Investor Signal: Series B inbound interest activated, with focus on retention proof.</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Outcome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brand reframed itself as inevitable insider culture, not just “affordable fashion.” The GTM shift created a movement among core buyers, which investors read as inevitability proof.</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Founder Voice (Redacted)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&gt; “We thought funnels were about ads and discounts. Instaura showed us that scarcity was our real funnel. Everything changed after that.”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Related Resources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White Paper #5: Funnels Without Signal Leak Value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White Paper #15: The GTM Sprint That Reframed a Market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Clarity Series #13: Why Funnels Fail to Create Movement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Final CTA Block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Clarity → Movement.</w:t>
      </w:r>
    </w:p>
    <w:p w:rsidR="00000000" w:rsidDel="00000000" w:rsidP="00000000" w:rsidRDefault="00000000" w:rsidRPr="00000000" w14:paraId="00000062">
      <w:pPr>
        <w:rPr/>
      </w:pPr>
      <w:r w:rsidDel="00000000" w:rsidR="00000000" w:rsidRPr="00000000">
        <w:rPr>
          <w:rtl w:val="0"/>
        </w:rPr>
        <w:t xml:space="preserve">Funnels aren’t about clicks. They’re about inevitability. Architect one that moves your brand — and your valuation.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[Talk to Yas]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[Book a Signal Call]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